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4833C" w14:textId="099448DE" w:rsidR="00747A3F" w:rsidRDefault="003C0AF3">
      <w:pPr>
        <w:pStyle w:val="Titel"/>
        <w:rPr>
          <w:rFonts w:asciiTheme="minorHAnsi" w:eastAsiaTheme="minorHAnsi" w:hAnsiTheme="minorHAnsi" w:cstheme="minorBidi"/>
          <w:spacing w:val="0"/>
          <w:kern w:val="22"/>
          <w:sz w:val="22"/>
          <w:szCs w:val="22"/>
        </w:rPr>
      </w:pPr>
      <w:r>
        <w:rPr>
          <w:rFonts w:asciiTheme="minorHAnsi" w:eastAsiaTheme="minorHAnsi" w:hAnsiTheme="minorHAnsi" w:cstheme="minorBidi"/>
          <w:spacing w:val="0"/>
          <w:kern w:val="22"/>
          <w:sz w:val="22"/>
          <w:szCs w:val="22"/>
        </w:rPr>
        <w:t>Ges</w:t>
      </w:r>
      <w:r w:rsidR="00FB5DC5">
        <w:rPr>
          <w:rFonts w:asciiTheme="minorHAnsi" w:eastAsiaTheme="minorHAnsi" w:hAnsiTheme="minorHAnsi" w:cstheme="minorBidi"/>
          <w:spacing w:val="0"/>
          <w:kern w:val="22"/>
          <w:sz w:val="22"/>
          <w:szCs w:val="22"/>
        </w:rPr>
        <w:t>c</w:t>
      </w:r>
      <w:r>
        <w:rPr>
          <w:rFonts w:asciiTheme="minorHAnsi" w:eastAsiaTheme="minorHAnsi" w:hAnsiTheme="minorHAnsi" w:cstheme="minorBidi"/>
          <w:spacing w:val="0"/>
          <w:kern w:val="22"/>
          <w:sz w:val="22"/>
          <w:szCs w:val="22"/>
        </w:rPr>
        <w:t xml:space="preserve">häftszeichen: </w:t>
      </w:r>
      <w:r w:rsidR="00975407">
        <w:rPr>
          <w:rFonts w:asciiTheme="minorHAnsi" w:eastAsiaTheme="minorHAnsi" w:hAnsiTheme="minorHAnsi" w:cstheme="minorBidi"/>
          <w:spacing w:val="0"/>
          <w:kern w:val="22"/>
          <w:sz w:val="22"/>
          <w:szCs w:val="22"/>
        </w:rPr>
        <w:t>1</w:t>
      </w:r>
      <w:r w:rsidR="009A0220">
        <w:rPr>
          <w:rFonts w:asciiTheme="minorHAnsi" w:eastAsiaTheme="minorHAnsi" w:hAnsiTheme="minorHAnsi" w:cstheme="minorBidi"/>
          <w:spacing w:val="0"/>
          <w:kern w:val="22"/>
          <w:sz w:val="22"/>
          <w:szCs w:val="22"/>
        </w:rPr>
        <w:t>0725</w:t>
      </w:r>
      <w:r w:rsidR="00C76CEE">
        <w:rPr>
          <w:rFonts w:asciiTheme="minorHAnsi" w:eastAsiaTheme="minorHAnsi" w:hAnsiTheme="minorHAnsi" w:cstheme="minorBidi"/>
          <w:spacing w:val="0"/>
          <w:kern w:val="22"/>
          <w:sz w:val="22"/>
          <w:szCs w:val="22"/>
        </w:rPr>
        <w:t>500</w:t>
      </w:r>
    </w:p>
    <w:sdt>
      <w:sdtPr>
        <w:rPr>
          <w:rFonts w:asciiTheme="minorHAnsi" w:eastAsiaTheme="minorHAnsi" w:hAnsiTheme="minorHAnsi" w:cstheme="minorBidi"/>
          <w:spacing w:val="0"/>
          <w:kern w:val="22"/>
          <w:sz w:val="22"/>
          <w:szCs w:val="22"/>
        </w:rPr>
        <w:id w:val="1538846433"/>
        <w:lock w:val="contentLocked"/>
        <w:placeholder>
          <w:docPart w:val="DefaultPlaceholder_-1854013440"/>
        </w:placeholder>
        <w:group/>
      </w:sdtPr>
      <w:sdtEndPr/>
      <w:sdtContent>
        <w:p w14:paraId="76ABC7D3" w14:textId="1309984D" w:rsidR="00182552" w:rsidRDefault="00AE3A30">
          <w:pPr>
            <w:pStyle w:val="Titel"/>
            <w:rPr>
              <w:rFonts w:asciiTheme="minorHAnsi" w:eastAsiaTheme="minorHAnsi" w:hAnsiTheme="minorHAnsi" w:cstheme="minorBidi"/>
              <w:spacing w:val="0"/>
              <w:kern w:val="22"/>
              <w:sz w:val="22"/>
              <w:szCs w:val="22"/>
            </w:rPr>
          </w:pPr>
          <w:r w:rsidRPr="00AE3A30">
            <w:rPr>
              <w:rFonts w:asciiTheme="minorHAnsi" w:eastAsiaTheme="minorHAnsi" w:hAnsiTheme="minorHAnsi" w:cstheme="minorBidi"/>
              <w:noProof/>
              <w:spacing w:val="0"/>
              <w:kern w:val="22"/>
              <w:sz w:val="22"/>
              <w:szCs w:val="22"/>
            </w:rPr>
            <mc:AlternateContent>
              <mc:Choice Requires="wps">
                <w:drawing>
                  <wp:anchor distT="0" distB="0" distL="114300" distR="114300" simplePos="0" relativeHeight="251659264" behindDoc="0" locked="1" layoutInCell="1" allowOverlap="0" wp14:anchorId="50688A37" wp14:editId="558B3639">
                    <wp:simplePos x="0" y="0"/>
                    <wp:positionH relativeFrom="margin">
                      <wp:align>left</wp:align>
                    </wp:positionH>
                    <wp:positionV relativeFrom="topMargin">
                      <wp:posOffset>184150</wp:posOffset>
                    </wp:positionV>
                    <wp:extent cx="3095625" cy="108000"/>
                    <wp:effectExtent l="0" t="0" r="9525" b="6350"/>
                    <wp:wrapSquare wrapText="bothSides"/>
                    <wp:docPr id="2090972794"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3A29F79E" w14:textId="0AA83B7C" w:rsidR="00AE3A30" w:rsidRDefault="00C76CEE">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688A37" id="_x0000_t202" coordsize="21600,21600" o:spt="202" path="m,l,21600r21600,l21600,xe">
                    <v:stroke joinstyle="miter"/>
                    <v:path gradientshapeok="t" o:connecttype="rect"/>
                  </v:shapetype>
                  <v:shape id="Textfeld 3" o:spid="_x0000_s1026" type="#_x0000_t202" style="position:absolute;margin-left:0;margin-top:14.5pt;width:243.75pt;height:8.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3A29F79E" w14:textId="0AA83B7C" w:rsidR="00AE3A30" w:rsidRDefault="00ED3F73">
                          <w:pPr>
                            <w:pStyle w:val="BFFMVertraulichkeit"/>
                          </w:pPr>
                          <w:sdt>
                            <w:sdtPr>
                              <w:alias w:val="Vertraulichkeitsklasse"/>
                              <w:tag w:val="tagVertraulichkeitsklassen"/>
                              <w:id w:val="1314519206"/>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p>
        <w:p w14:paraId="371DE67C" w14:textId="0C730C64" w:rsidR="00182552" w:rsidRDefault="008D706C">
          <w:pPr>
            <w:pStyle w:val="Titel"/>
          </w:pPr>
          <w:r>
            <w:t>Verpflichtung zur Einhaltung der datenschutzrechtlichen Anforderungen sowie nach dem Verpflichtungsgesetz</w:t>
          </w:r>
        </w:p>
        <w:p w14:paraId="111FEE34" w14:textId="77777777" w:rsidR="00182552" w:rsidRDefault="008D706C">
          <w:r>
            <w:t>Sehr geehrte/-r</w:t>
          </w:r>
        </w:p>
        <w:sdt>
          <w:sdtPr>
            <w:rPr>
              <w:b w:val="0"/>
              <w:bCs w:val="0"/>
              <w:sz w:val="22"/>
              <w:szCs w:val="22"/>
            </w:rPr>
            <w:id w:val="-2105489094"/>
            <w:lock w:val="contentLocked"/>
            <w:placeholder>
              <w:docPart w:val="24D3C0BA1A7F4750B279BBC887B46718"/>
            </w:placeholder>
            <w:group/>
          </w:sdtPr>
          <w:sdtEndPr/>
          <w:sdtContent>
            <w:tbl>
              <w:tblPr>
                <w:tblStyle w:val="KVBBriefformula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80" w:firstRow="0" w:lastRow="0" w:firstColumn="1" w:lastColumn="0" w:noHBand="0" w:noVBand="1"/>
              </w:tblPr>
              <w:tblGrid>
                <w:gridCol w:w="2410"/>
                <w:gridCol w:w="4531"/>
              </w:tblGrid>
              <w:tr w:rsidR="00182552" w14:paraId="360A1C4B" w14:textId="77777777" w:rsidTr="00182552">
                <w:trPr>
                  <w:trHeight w:val="340"/>
                </w:trPr>
                <w:tc>
                  <w:tcPr>
                    <w:tcW w:w="2410" w:type="dxa"/>
                  </w:tcPr>
                  <w:p w14:paraId="1101FB7D" w14:textId="77777777" w:rsidR="00182552" w:rsidRDefault="008D706C">
                    <w:pPr>
                      <w:pStyle w:val="FMBezeichnung"/>
                      <w:rPr>
                        <w:sz w:val="22"/>
                        <w:szCs w:val="22"/>
                      </w:rPr>
                    </w:pPr>
                    <w:r>
                      <w:rPr>
                        <w:sz w:val="22"/>
                        <w:szCs w:val="22"/>
                      </w:rPr>
                      <w:t>Anrede:</w:t>
                    </w:r>
                  </w:p>
                </w:tc>
                <w:tc>
                  <w:tcPr>
                    <w:tcW w:w="4531" w:type="dxa"/>
                  </w:tcPr>
                  <w:p w14:paraId="14199F8A" w14:textId="77777777" w:rsidR="00182552" w:rsidRDefault="00C76CEE">
                    <w:sdt>
                      <w:sdtPr>
                        <w:rPr>
                          <w:highlight w:val="yellow"/>
                        </w:rPr>
                        <w:alias w:val="Anrede"/>
                        <w:tag w:val="tagAnrede"/>
                        <w:id w:val="514888411"/>
                        <w:placeholder>
                          <w:docPart w:val="3735784F16F541FDBE0CC823AE0E6D5D"/>
                        </w:placeholder>
                        <w:showingPlcHdr/>
                        <w:dataBinding w:xpath="/root[1]/Anrede[1]" w:storeItemID="{67EACD14-3EE4-4CC9-A254-F6F340624127}"/>
                        <w:comboBox>
                          <w:listItem w:value="Wählen Sie ein Element aus."/>
                          <w:listItem w:displayText="Frau" w:value="Frau"/>
                          <w:listItem w:displayText="Herr" w:value="Herr"/>
                        </w:comboBox>
                      </w:sdtPr>
                      <w:sdtEndPr/>
                      <w:sdtContent>
                        <w:r w:rsidR="008D706C" w:rsidRPr="00DB0E0B">
                          <w:rPr>
                            <w:rStyle w:val="Platzhaltertext"/>
                            <w:vanish/>
                            <w:highlight w:val="yellow"/>
                          </w:rPr>
                          <w:t>Anrede wählen</w:t>
                        </w:r>
                      </w:sdtContent>
                    </w:sdt>
                  </w:p>
                </w:tc>
              </w:tr>
              <w:tr w:rsidR="00182552" w14:paraId="5F770C23" w14:textId="77777777" w:rsidTr="00182552">
                <w:trPr>
                  <w:trHeight w:val="340"/>
                </w:trPr>
                <w:tc>
                  <w:tcPr>
                    <w:tcW w:w="2410" w:type="dxa"/>
                  </w:tcPr>
                  <w:p w14:paraId="3CEC34B3" w14:textId="77777777" w:rsidR="00182552" w:rsidRDefault="008D706C">
                    <w:pPr>
                      <w:pStyle w:val="FMBezeichnung"/>
                      <w:rPr>
                        <w:sz w:val="22"/>
                        <w:szCs w:val="22"/>
                      </w:rPr>
                    </w:pPr>
                    <w:r>
                      <w:rPr>
                        <w:sz w:val="22"/>
                        <w:szCs w:val="22"/>
                      </w:rPr>
                      <w:t>Vor- und Nachname</w:t>
                    </w:r>
                  </w:p>
                </w:tc>
                <w:tc>
                  <w:tcPr>
                    <w:tcW w:w="4531" w:type="dxa"/>
                  </w:tcPr>
                  <w:p w14:paraId="4CAE8D7F" w14:textId="77777777" w:rsidR="00182552" w:rsidRDefault="00C76CEE">
                    <w:sdt>
                      <w:sdtPr>
                        <w:alias w:val="Name"/>
                        <w:tag w:val="tagName"/>
                        <w:id w:val="900335262"/>
                        <w:placeholder>
                          <w:docPart w:val="A904F89D8B0441A9B4512F3C791F120A"/>
                        </w:placeholder>
                        <w:showingPlcHdr/>
                        <w:dataBinding w:xpath="/root[1]/Name[1]" w:storeItemID="{67EACD14-3EE4-4CC9-A254-F6F340624127}"/>
                        <w:text/>
                      </w:sdtPr>
                      <w:sdtEndPr/>
                      <w:sdtContent>
                        <w:r w:rsidR="008D706C" w:rsidRPr="00DB0E0B">
                          <w:rPr>
                            <w:rStyle w:val="Platzhaltertext"/>
                            <w:vanish/>
                            <w:highlight w:val="yellow"/>
                          </w:rPr>
                          <w:t>Vorname Name eingeben</w:t>
                        </w:r>
                      </w:sdtContent>
                    </w:sdt>
                  </w:p>
                </w:tc>
              </w:tr>
              <w:tr w:rsidR="00182552" w14:paraId="279C0A69" w14:textId="77777777" w:rsidTr="00182552">
                <w:trPr>
                  <w:trHeight w:val="340"/>
                </w:trPr>
                <w:tc>
                  <w:tcPr>
                    <w:tcW w:w="2410" w:type="dxa"/>
                  </w:tcPr>
                  <w:p w14:paraId="75199419" w14:textId="77777777" w:rsidR="00182552" w:rsidRDefault="008D706C">
                    <w:pPr>
                      <w:pStyle w:val="FMBezeichnung"/>
                      <w:rPr>
                        <w:sz w:val="22"/>
                        <w:szCs w:val="22"/>
                      </w:rPr>
                    </w:pPr>
                    <w:r>
                      <w:rPr>
                        <w:sz w:val="22"/>
                        <w:szCs w:val="22"/>
                      </w:rPr>
                      <w:t>geboren am:</w:t>
                    </w:r>
                  </w:p>
                </w:tc>
                <w:tc>
                  <w:tcPr>
                    <w:tcW w:w="4531" w:type="dxa"/>
                  </w:tcPr>
                  <w:p w14:paraId="715366CF" w14:textId="77777777" w:rsidR="00182552" w:rsidRDefault="00C76CEE">
                    <w:sdt>
                      <w:sdtPr>
                        <w:alias w:val="Geburtsdatum"/>
                        <w:tag w:val="tagGebDatum"/>
                        <w:id w:val="614102016"/>
                        <w:placeholder>
                          <w:docPart w:val="28B7B36AED154B9A80A0B2D6F73B23DC"/>
                        </w:placeholder>
                        <w:showingPlcHdr/>
                        <w:dataBinding w:xpath="/root[1]/GebDatum[1]" w:storeItemID="{67EACD14-3EE4-4CC9-A254-F6F340624127}"/>
                        <w:date>
                          <w:dateFormat w:val="d. MMMM yyyy"/>
                          <w:lid w:val="de-DE"/>
                          <w:storeMappedDataAs w:val="dateTime"/>
                          <w:calendar w:val="gregorian"/>
                        </w:date>
                      </w:sdtPr>
                      <w:sdtEndPr/>
                      <w:sdtContent>
                        <w:r w:rsidR="008D706C" w:rsidRPr="00DB0E0B">
                          <w:rPr>
                            <w:rStyle w:val="Platzhaltertext"/>
                            <w:vanish/>
                            <w:highlight w:val="yellow"/>
                          </w:rPr>
                          <w:t>Geburtsdatum eingeben oder wählen</w:t>
                        </w:r>
                      </w:sdtContent>
                    </w:sdt>
                  </w:p>
                </w:tc>
              </w:tr>
              <w:tr w:rsidR="00182552" w14:paraId="3FC7E62C" w14:textId="77777777" w:rsidTr="00182552">
                <w:trPr>
                  <w:trHeight w:val="340"/>
                </w:trPr>
                <w:tc>
                  <w:tcPr>
                    <w:tcW w:w="2410" w:type="dxa"/>
                  </w:tcPr>
                  <w:p w14:paraId="284837B0" w14:textId="77777777" w:rsidR="00182552" w:rsidRDefault="008D706C">
                    <w:pPr>
                      <w:pStyle w:val="FMBezeichnung"/>
                      <w:rPr>
                        <w:sz w:val="22"/>
                        <w:szCs w:val="22"/>
                      </w:rPr>
                    </w:pPr>
                    <w:r>
                      <w:rPr>
                        <w:sz w:val="22"/>
                        <w:szCs w:val="22"/>
                      </w:rPr>
                      <w:t>Organisationseinheit:</w:t>
                    </w:r>
                  </w:p>
                </w:tc>
                <w:tc>
                  <w:tcPr>
                    <w:tcW w:w="4531" w:type="dxa"/>
                  </w:tcPr>
                  <w:p w14:paraId="758D10BC" w14:textId="73FBEC0C" w:rsidR="00182552" w:rsidRDefault="00C76CEE">
                    <w:sdt>
                      <w:sdtPr>
                        <w:alias w:val="Organisationseinheit"/>
                        <w:tag w:val="tagOrganisationseinheit"/>
                        <w:id w:val="-1802603147"/>
                        <w:placeholder>
                          <w:docPart w:val="7F3633CAFCF34BE3B4CAF83F30682485"/>
                        </w:placeholder>
                        <w:text/>
                      </w:sdtPr>
                      <w:sdtEndPr/>
                      <w:sdtContent>
                        <w:r w:rsidR="00A323AD">
                          <w:t>IT</w:t>
                        </w:r>
                      </w:sdtContent>
                    </w:sdt>
                  </w:p>
                </w:tc>
              </w:tr>
              <w:tr w:rsidR="00182552" w14:paraId="074A3792" w14:textId="77777777" w:rsidTr="00182552">
                <w:trPr>
                  <w:trHeight w:val="340"/>
                </w:trPr>
                <w:tc>
                  <w:tcPr>
                    <w:tcW w:w="2410" w:type="dxa"/>
                  </w:tcPr>
                  <w:p w14:paraId="72D5F2C8" w14:textId="77777777" w:rsidR="00182552" w:rsidRDefault="008D706C">
                    <w:pPr>
                      <w:pStyle w:val="FMBezeichnung"/>
                      <w:rPr>
                        <w:sz w:val="22"/>
                        <w:szCs w:val="22"/>
                      </w:rPr>
                    </w:pPr>
                    <w:r>
                      <w:rPr>
                        <w:sz w:val="22"/>
                        <w:szCs w:val="22"/>
                      </w:rPr>
                      <w:t>Funktion:</w:t>
                    </w:r>
                  </w:p>
                </w:tc>
                <w:sdt>
                  <w:sdtPr>
                    <w:alias w:val="Funktion"/>
                    <w:tag w:val="tagFunktion"/>
                    <w:id w:val="2113926128"/>
                    <w:placeholder>
                      <w:docPart w:val="4EA034AC5E2F4205B19787B7AC3A9EA1"/>
                    </w:placeholder>
                    <w:text/>
                  </w:sdtPr>
                  <w:sdtEndPr/>
                  <w:sdtContent>
                    <w:tc>
                      <w:tcPr>
                        <w:tcW w:w="4531" w:type="dxa"/>
                      </w:tcPr>
                      <w:p w14:paraId="14CFE9D4" w14:textId="458C3D58" w:rsidR="00182552" w:rsidRDefault="00A323AD">
                        <w:r>
                          <w:t>Externer Die</w:t>
                        </w:r>
                        <w:r w:rsidR="00471E2B">
                          <w:t>n</w:t>
                        </w:r>
                        <w:r>
                          <w:t>stleister</w:t>
                        </w:r>
                      </w:p>
                    </w:tc>
                  </w:sdtContent>
                </w:sdt>
              </w:tr>
            </w:tbl>
            <w:p w14:paraId="45428F71" w14:textId="77777777" w:rsidR="00182552" w:rsidRDefault="00C76CEE"/>
          </w:sdtContent>
        </w:sdt>
        <w:p w14:paraId="2585ACC2" w14:textId="57666F14" w:rsidR="00182552" w:rsidRDefault="008D706C">
          <w:r>
            <w:t>durch Ihre Mitwirkung bei der Wahrnehmung von Aufgaben in der öffentlichen Verwaltung erhalten Sie Kenntnis von personenbezogenen Daten/Sozialdaten (Art. 4 Nr. 1 Datenschutzgrundverordnung – DSGVO, §</w:t>
          </w:r>
          <w:r w:rsidR="00ED3F73">
            <w:t> </w:t>
          </w:r>
          <w:r>
            <w:t>67 Abs.</w:t>
          </w:r>
          <w:r w:rsidR="00ED3F73">
            <w:t> </w:t>
          </w:r>
          <w:r>
            <w:t>2 des zehnten Sozialgesetzbuchs – SGB</w:t>
          </w:r>
          <w:r w:rsidR="00ED3F73">
            <w:t> </w:t>
          </w:r>
          <w:r>
            <w:t>X). Für den Umgang mit diesen Daten gelten besondere gesetzliche Vorschriften. Zentrale Vorschriften im Datenschutzrecht sind die DSGVO, das Bundesdatenschutzgesetz (BDSG) sowie die Vorschriften des Sozialdatenschutzes</w:t>
          </w:r>
          <w:r w:rsidR="00ED3F73">
            <w:t xml:space="preserve"> </w:t>
          </w:r>
          <w:r>
            <w:t>(§§</w:t>
          </w:r>
          <w:r w:rsidR="00ED3F73">
            <w:t> </w:t>
          </w:r>
          <w:r>
            <w:t>67</w:t>
          </w:r>
          <w:r w:rsidR="00ED3F73">
            <w:t> </w:t>
          </w:r>
          <w:r>
            <w:t>ff</w:t>
          </w:r>
          <w:r w:rsidR="00ED3F73">
            <w:t> </w:t>
          </w:r>
          <w:r>
            <w:t>SGB</w:t>
          </w:r>
          <w:r w:rsidR="00ED3F73">
            <w:t> </w:t>
          </w:r>
          <w:r>
            <w:t>X). Verstöße gegen Datenschutzvorschriften können als Ordnungswidrigkeit (§</w:t>
          </w:r>
          <w:r w:rsidR="00ED3F73">
            <w:t> </w:t>
          </w:r>
          <w:r>
            <w:t>85a</w:t>
          </w:r>
          <w:r w:rsidR="00ED3F73">
            <w:t> </w:t>
          </w:r>
          <w:r>
            <w:t>SGB</w:t>
          </w:r>
          <w:r w:rsidR="00ED3F73">
            <w:t> </w:t>
          </w:r>
          <w:r>
            <w:t>X) sowie nach anderen Strafvorschriften mit Freiheits- oder Geldstrafe geahndet werden (§</w:t>
          </w:r>
          <w:r w:rsidR="00ED3F73">
            <w:t> </w:t>
          </w:r>
          <w:r>
            <w:t>85</w:t>
          </w:r>
          <w:r w:rsidR="00ED3F73">
            <w:t> </w:t>
          </w:r>
          <w:r>
            <w:t>SGB</w:t>
          </w:r>
          <w:r w:rsidR="00ED3F73">
            <w:t> </w:t>
          </w:r>
          <w:r>
            <w:t>X). Außerdem kann eine unzulässige Verarbeitung personenbezogener Daten und Sozialdaten Schadensersatzansprüche der betroffenen Person nach sich ziehen.</w:t>
          </w:r>
        </w:p>
        <w:p w14:paraId="144145A0" w14:textId="63642498" w:rsidR="00182552" w:rsidRDefault="008D706C">
          <w:r>
            <w:t>Bestimmte Straftaten können tatbestandlich nur verwirklicht werden, wenn sie von Amtsträgern gemäß §</w:t>
          </w:r>
          <w:r w:rsidR="00ED3F73">
            <w:t> </w:t>
          </w:r>
          <w:r>
            <w:t>11 Abs.</w:t>
          </w:r>
          <w:r w:rsidR="00ED3F73">
            <w:t> </w:t>
          </w:r>
          <w:r>
            <w:t>1 Nr.</w:t>
          </w:r>
          <w:r w:rsidR="00ED3F73">
            <w:t> </w:t>
          </w:r>
          <w:r>
            <w:t>2 Strafgesetzbuch</w:t>
          </w:r>
          <w:r w:rsidR="00ED3F73">
            <w:t> </w:t>
          </w:r>
          <w:r>
            <w:t>(StGB) bzw. von für den öffentlichen Dienst besonders Verpflichteten gemäß §</w:t>
          </w:r>
          <w:r w:rsidR="00ED3F73">
            <w:t> </w:t>
          </w:r>
          <w:r>
            <w:t>11 Abs.</w:t>
          </w:r>
          <w:r w:rsidR="00ED3F73">
            <w:t> </w:t>
          </w:r>
          <w:r>
            <w:t>1 Nr.</w:t>
          </w:r>
          <w:r w:rsidR="00ED3F73">
            <w:t> </w:t>
          </w:r>
          <w:r>
            <w:t>4</w:t>
          </w:r>
          <w:r w:rsidR="00ED3F73">
            <w:t> </w:t>
          </w:r>
          <w:r>
            <w:t>StGB begangen werden. Sofern Sie nicht bereits als Amtsträger mitwirken, werden Sie heute auf die gewissenhafte Erfüllung Ihrer Obliegenheit nach §</w:t>
          </w:r>
          <w:r w:rsidR="00ED3F73">
            <w:t> </w:t>
          </w:r>
          <w:r>
            <w:t>1 des Gesetzes über die förmliche Verpflichtung nichtbeamteter Personen (Verpfl</w:t>
          </w:r>
          <w:r w:rsidR="002F70EE">
            <w:t>i</w:t>
          </w:r>
          <w:r>
            <w:t>chtungsgesetz) verpflichtet.</w:t>
          </w:r>
        </w:p>
        <w:p w14:paraId="2718D8FA" w14:textId="77777777" w:rsidR="00182552" w:rsidRDefault="008D706C">
          <w:r>
            <w:t>Ihnen wurde der Inhalt der folgenden Strafvorschriften des StGB bekannt gegeben:</w:t>
          </w:r>
        </w:p>
        <w:tbl>
          <w:tblPr>
            <w:tblStyle w:val="KVBFormulartabelle"/>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20" w:firstRow="1" w:lastRow="0" w:firstColumn="0" w:lastColumn="0" w:noHBand="0" w:noVBand="1"/>
          </w:tblPr>
          <w:tblGrid>
            <w:gridCol w:w="4531"/>
            <w:gridCol w:w="4531"/>
          </w:tblGrid>
          <w:tr w:rsidR="00182552" w14:paraId="486D8C0E" w14:textId="77777777" w:rsidTr="00182552">
            <w:trPr>
              <w:trHeight w:val="283"/>
            </w:trPr>
            <w:tc>
              <w:tcPr>
                <w:tcW w:w="4531" w:type="dxa"/>
              </w:tcPr>
              <w:p w14:paraId="7F48BE17" w14:textId="77777777" w:rsidR="00182552" w:rsidRDefault="008D706C">
                <w:r>
                  <w:t>§ 133 Abs. 3</w:t>
                </w:r>
              </w:p>
            </w:tc>
            <w:tc>
              <w:tcPr>
                <w:tcW w:w="4531" w:type="dxa"/>
              </w:tcPr>
              <w:p w14:paraId="24B17F4E" w14:textId="77777777" w:rsidR="00182552" w:rsidRDefault="008D706C">
                <w:r>
                  <w:t>Verwahrungsbruch</w:t>
                </w:r>
              </w:p>
            </w:tc>
          </w:tr>
          <w:tr w:rsidR="00182552" w14:paraId="15F14BDC" w14:textId="77777777" w:rsidTr="00182552">
            <w:trPr>
              <w:trHeight w:val="283"/>
            </w:trPr>
            <w:tc>
              <w:tcPr>
                <w:tcW w:w="4531" w:type="dxa"/>
              </w:tcPr>
              <w:p w14:paraId="2DA2E22F" w14:textId="77777777" w:rsidR="00182552" w:rsidRDefault="008D706C">
                <w:r>
                  <w:t>§ 201 Abs. 3</w:t>
                </w:r>
              </w:p>
            </w:tc>
            <w:tc>
              <w:tcPr>
                <w:tcW w:w="4531" w:type="dxa"/>
              </w:tcPr>
              <w:p w14:paraId="5CCBEA88" w14:textId="77777777" w:rsidR="00182552" w:rsidRDefault="008D706C">
                <w:r>
                  <w:t>Verletzung der Vertraulichkeit des Wortes</w:t>
                </w:r>
              </w:p>
            </w:tc>
          </w:tr>
          <w:tr w:rsidR="00182552" w14:paraId="2DCABD5F" w14:textId="77777777" w:rsidTr="00182552">
            <w:trPr>
              <w:trHeight w:val="283"/>
            </w:trPr>
            <w:tc>
              <w:tcPr>
                <w:tcW w:w="4531" w:type="dxa"/>
              </w:tcPr>
              <w:p w14:paraId="64F7F257" w14:textId="77777777" w:rsidR="00182552" w:rsidRDefault="008D706C">
                <w:r>
                  <w:t>§ 202</w:t>
                </w:r>
              </w:p>
            </w:tc>
            <w:tc>
              <w:tcPr>
                <w:tcW w:w="4531" w:type="dxa"/>
              </w:tcPr>
              <w:p w14:paraId="1718CF05" w14:textId="77777777" w:rsidR="00182552" w:rsidRDefault="008D706C">
                <w:r>
                  <w:t>Verletzung des Briefgeheimnisses</w:t>
                </w:r>
              </w:p>
            </w:tc>
          </w:tr>
          <w:tr w:rsidR="00182552" w14:paraId="18AE9185" w14:textId="77777777" w:rsidTr="00182552">
            <w:trPr>
              <w:trHeight w:val="283"/>
            </w:trPr>
            <w:tc>
              <w:tcPr>
                <w:tcW w:w="4531" w:type="dxa"/>
              </w:tcPr>
              <w:p w14:paraId="55CFB516" w14:textId="77777777" w:rsidR="00182552" w:rsidRDefault="008D706C">
                <w:r>
                  <w:t>§§ 202a, 202b, 202c</w:t>
                </w:r>
              </w:p>
            </w:tc>
            <w:tc>
              <w:tcPr>
                <w:tcW w:w="4531" w:type="dxa"/>
              </w:tcPr>
              <w:p w14:paraId="1C62E316" w14:textId="77777777" w:rsidR="00182552" w:rsidRDefault="008D706C">
                <w:r>
                  <w:t>Ausspähen und Abfangen von Daten sowie die Vorbereitung dieser Straftaten</w:t>
                </w:r>
              </w:p>
            </w:tc>
          </w:tr>
          <w:tr w:rsidR="00182552" w14:paraId="09A8654C" w14:textId="77777777" w:rsidTr="00182552">
            <w:trPr>
              <w:trHeight w:val="283"/>
            </w:trPr>
            <w:tc>
              <w:tcPr>
                <w:tcW w:w="4531" w:type="dxa"/>
              </w:tcPr>
              <w:p w14:paraId="7C115C93" w14:textId="77777777" w:rsidR="00182552" w:rsidRDefault="008D706C">
                <w:r>
                  <w:t>§ 203 Abs. 2, 4, 5</w:t>
                </w:r>
              </w:p>
            </w:tc>
            <w:tc>
              <w:tcPr>
                <w:tcW w:w="4531" w:type="dxa"/>
              </w:tcPr>
              <w:p w14:paraId="41197B9F" w14:textId="77777777" w:rsidR="00182552" w:rsidRDefault="008D706C">
                <w:r>
                  <w:t>Verletzung von Privatgeheimnissen</w:t>
                </w:r>
              </w:p>
            </w:tc>
          </w:tr>
          <w:tr w:rsidR="00182552" w14:paraId="1851B222" w14:textId="77777777" w:rsidTr="00182552">
            <w:trPr>
              <w:trHeight w:val="283"/>
            </w:trPr>
            <w:tc>
              <w:tcPr>
                <w:tcW w:w="4531" w:type="dxa"/>
              </w:tcPr>
              <w:p w14:paraId="1C42C29E" w14:textId="77777777" w:rsidR="00182552" w:rsidRDefault="008D706C">
                <w:r>
                  <w:t>§ 204</w:t>
                </w:r>
              </w:p>
            </w:tc>
            <w:tc>
              <w:tcPr>
                <w:tcW w:w="4531" w:type="dxa"/>
              </w:tcPr>
              <w:p w14:paraId="4830EF1B" w14:textId="77777777" w:rsidR="00182552" w:rsidRDefault="008D706C">
                <w:r>
                  <w:t>Verwertung fremder Geheimnisse</w:t>
                </w:r>
              </w:p>
            </w:tc>
          </w:tr>
          <w:tr w:rsidR="00182552" w14:paraId="01EA4535" w14:textId="77777777" w:rsidTr="00182552">
            <w:trPr>
              <w:trHeight w:val="283"/>
            </w:trPr>
            <w:tc>
              <w:tcPr>
                <w:tcW w:w="4531" w:type="dxa"/>
              </w:tcPr>
              <w:p w14:paraId="112B753B" w14:textId="77777777" w:rsidR="00182552" w:rsidRDefault="008D706C">
                <w:r>
                  <w:t>§§ 331, 332</w:t>
                </w:r>
              </w:p>
            </w:tc>
            <w:tc>
              <w:tcPr>
                <w:tcW w:w="4531" w:type="dxa"/>
              </w:tcPr>
              <w:p w14:paraId="4B3D18B9" w14:textId="77777777" w:rsidR="00182552" w:rsidRDefault="008D706C">
                <w:r>
                  <w:t>Vorteilsannahme und Bestechlichkeit</w:t>
                </w:r>
              </w:p>
            </w:tc>
          </w:tr>
          <w:tr w:rsidR="00182552" w14:paraId="5405BA05" w14:textId="77777777" w:rsidTr="00182552">
            <w:trPr>
              <w:trHeight w:val="283"/>
            </w:trPr>
            <w:tc>
              <w:tcPr>
                <w:tcW w:w="4531" w:type="dxa"/>
              </w:tcPr>
              <w:p w14:paraId="136DA71F" w14:textId="77777777" w:rsidR="00182552" w:rsidRDefault="008D706C">
                <w:r>
                  <w:t>§ 353b</w:t>
                </w:r>
              </w:p>
            </w:tc>
            <w:tc>
              <w:tcPr>
                <w:tcW w:w="4531" w:type="dxa"/>
              </w:tcPr>
              <w:p w14:paraId="70B111D3" w14:textId="77777777" w:rsidR="00182552" w:rsidRDefault="008D706C">
                <w:r>
                  <w:t>Verletzung des Dienstgeheimnisses und einer besonderen Geheimhaltungspflicht</w:t>
                </w:r>
              </w:p>
            </w:tc>
          </w:tr>
          <w:tr w:rsidR="00182552" w14:paraId="28622883" w14:textId="77777777" w:rsidTr="00182552">
            <w:trPr>
              <w:trHeight w:val="283"/>
            </w:trPr>
            <w:tc>
              <w:tcPr>
                <w:tcW w:w="4531" w:type="dxa"/>
              </w:tcPr>
              <w:p w14:paraId="7ABE4115" w14:textId="77777777" w:rsidR="00182552" w:rsidRDefault="008D706C">
                <w:r>
                  <w:t>§ 358</w:t>
                </w:r>
              </w:p>
            </w:tc>
            <w:tc>
              <w:tcPr>
                <w:tcW w:w="4531" w:type="dxa"/>
              </w:tcPr>
              <w:p w14:paraId="6FD3B8B7" w14:textId="77777777" w:rsidR="00182552" w:rsidRDefault="008D706C">
                <w:r>
                  <w:t>Nebenfolgen</w:t>
                </w:r>
              </w:p>
            </w:tc>
          </w:tr>
        </w:tbl>
        <w:p w14:paraId="58B8EFF2" w14:textId="77777777" w:rsidR="00182552" w:rsidRDefault="00182552">
          <w:pPr>
            <w:pStyle w:val="KeinLeerraum"/>
          </w:pPr>
        </w:p>
        <w:p w14:paraId="49DA0642" w14:textId="77777777" w:rsidR="00182552" w:rsidRDefault="008D706C">
          <w:r>
            <w:lastRenderedPageBreak/>
            <w:t>Sie wurden darauf hingewiesen, dass die o.g. Strafvorschriften auf Sie anzuwenden sind.</w:t>
          </w:r>
        </w:p>
        <w:p w14:paraId="4C2EE8AB" w14:textId="4C786BB3" w:rsidR="00182552" w:rsidRDefault="008D706C">
          <w:r>
            <w:t>Sie wurden ferner auf die Einha</w:t>
          </w:r>
          <w:r w:rsidR="00DD1D80">
            <w:t>l</w:t>
          </w:r>
          <w:r>
            <w:t>tung der Vorschriften der DSGVO und des BDSG sowie auf die Wahrung des Sozialgeheimnisses gemäß §</w:t>
          </w:r>
          <w:r w:rsidR="00ED3F73">
            <w:t> </w:t>
          </w:r>
          <w:r>
            <w:t>35 Abs.</w:t>
          </w:r>
          <w:r w:rsidR="00ED3F73">
            <w:t> </w:t>
          </w:r>
          <w:r>
            <w:t>1 SGB</w:t>
          </w:r>
          <w:r w:rsidR="00ED3F73">
            <w:t> </w:t>
          </w:r>
          <w:r>
            <w:t>I verpflichtet. Sozialdaten unterliegen dem Sozialgeheimnis (§</w:t>
          </w:r>
          <w:r w:rsidR="00ED3F73">
            <w:t> </w:t>
          </w:r>
          <w:r>
            <w:t>35 Abs.</w:t>
          </w:r>
          <w:r w:rsidR="00ED3F73">
            <w:t> </w:t>
          </w:r>
          <w:r>
            <w:t>1 des ersten Sozialgesetzbuchs – SGB</w:t>
          </w:r>
          <w:r w:rsidR="00ED3F73">
            <w:t> </w:t>
          </w:r>
          <w:r>
            <w:t>I). Es ist untersagt, personenbezogene Daten/Sozialdaten unbefugt bzw. unrechtmäßig zu verarbeiten. Sie dürfen auf keinen Fall unbefugt bzw. unrechtmäßig anderen Personen zugänglich gemacht werden. Ferner dürfen personenbezogene Daten und Sozialdaten nur so lange aufbewahrt werden, wie es zur Erfüllung der der KVB übertragenen Aufgaben erforderlich ist. Personenbezogene Daten und Sozialdaten dürfen nur verarbeitet werden, wenn die betroffene Person hierzu eingewilligt hat oder eine Rechtsgrundlage vorliegt. Im Falle der Einwilligung dürfen die personenbezogenen Daten und Sozialdaten ausschließlich zu den vorgesehenen Zwecken verarbeitet werden. Im Übrigen dürfen sie nur in dem Umfang und in der Weise verarbeitet werden, wie es zur Erfüllung der der KVB übertragenen Aufgaben erforderlich ist bzw. für andere Zwecke, soweit dies durch Rechtsvorschriften des Sozialgesetzbuchs angeordnet oder erlaubt ist.</w:t>
          </w:r>
        </w:p>
        <w:p w14:paraId="3EA0C808" w14:textId="77777777" w:rsidR="00182552" w:rsidRDefault="008D706C">
          <w:r>
            <w:t>Ihre Verpflichtung besteht ohne zeitliche Begrenzung und besteht auch nach Beendigung der Tätigkeit bei der KVB noch fort.</w:t>
          </w:r>
        </w:p>
        <w:p w14:paraId="3926A190" w14:textId="4360DBE4" w:rsidR="00182552" w:rsidRDefault="008D706C">
          <w:r>
            <w:t>Mit Ihrer Unterschrift erklären Sie, nunmehr von dem Inhalt der genannten Bestimmungen unterrichtet zu sein. Sie unterzeichnen zum Zeichen der Genehmigung und bestätigen gleichzeitig den Empfang einer Abschrift dieser Niederschrift und der oben genannten Vorschriften.</w:t>
          </w:r>
        </w:p>
      </w:sdtContent>
    </w:sdt>
    <w:p w14:paraId="7DF87236" w14:textId="77777777" w:rsidR="00747A3F" w:rsidRDefault="00747A3F" w:rsidP="00747A3F">
      <w:pPr>
        <w:pStyle w:val="KeinLeerraum"/>
      </w:pPr>
    </w:p>
    <w:p w14:paraId="61715D02" w14:textId="105A9450" w:rsidR="00747A3F" w:rsidRDefault="00747A3F" w:rsidP="00747A3F">
      <w:pPr>
        <w:pStyle w:val="KeinLeerraum"/>
      </w:pPr>
      <w:r w:rsidRPr="009838FD">
        <w:rPr>
          <w:highlight w:val="yellow"/>
        </w:rPr>
        <w:t>_____________________________</w:t>
      </w:r>
    </w:p>
    <w:p w14:paraId="76611CB0" w14:textId="77777777" w:rsidR="00747A3F" w:rsidRDefault="00747A3F" w:rsidP="00747A3F">
      <w:pPr>
        <w:pStyle w:val="KeinLeerraum"/>
      </w:pPr>
      <w:r>
        <w:t>Ort, Datum</w:t>
      </w:r>
    </w:p>
    <w:p w14:paraId="561B4EF6" w14:textId="77777777" w:rsidR="00747A3F" w:rsidRDefault="00747A3F" w:rsidP="00747A3F">
      <w:pPr>
        <w:pStyle w:val="KeinLeerraum"/>
      </w:pPr>
    </w:p>
    <w:p w14:paraId="5722F015" w14:textId="77777777" w:rsidR="00747A3F" w:rsidRDefault="00747A3F" w:rsidP="00747A3F">
      <w:pPr>
        <w:pStyle w:val="KeinLeerraum"/>
      </w:pPr>
    </w:p>
    <w:p w14:paraId="18B3FA3F" w14:textId="77777777" w:rsidR="00747A3F" w:rsidRDefault="00747A3F" w:rsidP="00747A3F">
      <w:pPr>
        <w:pStyle w:val="KeinLeerraum"/>
      </w:pPr>
    </w:p>
    <w:p w14:paraId="0131DD99" w14:textId="77777777" w:rsidR="00747A3F" w:rsidRDefault="00747A3F" w:rsidP="00747A3F">
      <w:pPr>
        <w:pStyle w:val="KeinLeerraum"/>
      </w:pPr>
    </w:p>
    <w:p w14:paraId="618FB1A4" w14:textId="77777777" w:rsidR="00747A3F" w:rsidRDefault="00747A3F" w:rsidP="00747A3F">
      <w:pPr>
        <w:pStyle w:val="KeinLeerraum"/>
      </w:pPr>
    </w:p>
    <w:p w14:paraId="48114220" w14:textId="77777777" w:rsidR="00747A3F" w:rsidRDefault="00747A3F" w:rsidP="00747A3F">
      <w:pPr>
        <w:pStyle w:val="KeinLeerraum"/>
      </w:pPr>
    </w:p>
    <w:p w14:paraId="1EE23A33" w14:textId="14B6A04A" w:rsidR="00747A3F" w:rsidRDefault="00747A3F" w:rsidP="00747A3F">
      <w:pPr>
        <w:pStyle w:val="KeinLeerraum"/>
      </w:pPr>
      <w:r w:rsidRPr="009838FD">
        <w:rPr>
          <w:highlight w:val="yellow"/>
        </w:rPr>
        <w:t>______________________________</w:t>
      </w:r>
    </w:p>
    <w:p w14:paraId="1E4286A3" w14:textId="77777777" w:rsidR="00747A3F" w:rsidRPr="00747A3F" w:rsidRDefault="00747A3F" w:rsidP="00747A3F">
      <w:pPr>
        <w:pStyle w:val="BFFMZusatz"/>
        <w:rPr>
          <w:sz w:val="22"/>
          <w:szCs w:val="22"/>
        </w:rPr>
      </w:pPr>
      <w:r w:rsidRPr="00747A3F">
        <w:rPr>
          <w:sz w:val="22"/>
          <w:szCs w:val="22"/>
        </w:rPr>
        <w:t>Unterschrift des/der Verpflichteten</w:t>
      </w:r>
    </w:p>
    <w:p w14:paraId="6CC2BF50" w14:textId="77777777" w:rsidR="008F2A77" w:rsidRDefault="008F2A77" w:rsidP="008F2A77">
      <w:pPr>
        <w:rPr>
          <w:rFonts w:ascii="Arial" w:hAnsi="Arial" w:cs="Arial"/>
          <w:b/>
          <w:bCs/>
          <w:color w:val="FF0000"/>
          <w:sz w:val="24"/>
          <w:u w:val="single"/>
        </w:rPr>
      </w:pPr>
    </w:p>
    <w:p w14:paraId="45E6AD88" w14:textId="2851FF7A" w:rsidR="008F2A77" w:rsidRPr="005417E0" w:rsidRDefault="008F2A77" w:rsidP="008F2A77">
      <w:pPr>
        <w:rPr>
          <w:rFonts w:ascii="Arial" w:hAnsi="Arial" w:cs="Arial"/>
          <w:b/>
          <w:bCs/>
          <w:color w:val="FF0000"/>
          <w:sz w:val="24"/>
          <w:u w:val="single"/>
        </w:rPr>
      </w:pPr>
      <w:r w:rsidRPr="005417E0">
        <w:rPr>
          <w:rFonts w:ascii="Arial" w:hAnsi="Arial" w:cs="Arial"/>
          <w:b/>
          <w:bCs/>
          <w:color w:val="FF0000"/>
          <w:sz w:val="24"/>
          <w:u w:val="single"/>
        </w:rPr>
        <w:t xml:space="preserve">Dieses Dokument ist </w:t>
      </w:r>
      <w:proofErr w:type="gramStart"/>
      <w:r w:rsidRPr="005417E0">
        <w:rPr>
          <w:rFonts w:ascii="Arial" w:hAnsi="Arial" w:cs="Arial"/>
          <w:b/>
          <w:bCs/>
          <w:color w:val="FF0000"/>
          <w:sz w:val="24"/>
          <w:u w:val="single"/>
        </w:rPr>
        <w:t>vom Kandidat</w:t>
      </w:r>
      <w:proofErr w:type="gramEnd"/>
      <w:r w:rsidRPr="005417E0">
        <w:rPr>
          <w:rFonts w:ascii="Arial" w:hAnsi="Arial" w:cs="Arial"/>
          <w:b/>
          <w:bCs/>
          <w:color w:val="FF0000"/>
          <w:sz w:val="24"/>
          <w:u w:val="single"/>
        </w:rPr>
        <w:t>/in persönlich zu unterzeichnen per händischer Unterschrift oder digitaler Signatur. Eine Unterzeichnung per Word-Schriftart ist nicht zulässig.</w:t>
      </w:r>
    </w:p>
    <w:p w14:paraId="63F2E611" w14:textId="59229606" w:rsidR="00182552" w:rsidRDefault="008D706C" w:rsidP="00747A3F">
      <w:pPr>
        <w:pStyle w:val="KeinLeerraum"/>
      </w:pPr>
      <w:r>
        <w:br w:type="page"/>
      </w:r>
    </w:p>
    <w:sdt>
      <w:sdtPr>
        <w:rPr>
          <w:rFonts w:asciiTheme="minorHAnsi" w:eastAsiaTheme="minorHAnsi" w:hAnsiTheme="minorHAnsi" w:cstheme="minorBidi"/>
          <w:spacing w:val="0"/>
          <w:kern w:val="22"/>
          <w:sz w:val="22"/>
          <w:szCs w:val="22"/>
        </w:rPr>
        <w:id w:val="880667579"/>
        <w:lock w:val="contentLocked"/>
        <w:placeholder>
          <w:docPart w:val="DefaultPlaceholder_-1854013440"/>
        </w:placeholder>
        <w:group/>
      </w:sdtPr>
      <w:sdtEndPr/>
      <w:sdtContent>
        <w:p w14:paraId="78711761" w14:textId="09C3090C" w:rsidR="00182552" w:rsidRDefault="008D706C">
          <w:pPr>
            <w:pStyle w:val="Titel"/>
          </w:pPr>
          <w:r>
            <w:t>Anhang I</w:t>
          </w:r>
        </w:p>
        <w:p w14:paraId="259AD216" w14:textId="77777777" w:rsidR="00182552" w:rsidRDefault="008D706C">
          <w:pPr>
            <w:pBdr>
              <w:bottom w:val="single" w:sz="4" w:space="1" w:color="auto"/>
            </w:pBdr>
            <w:rPr>
              <w:sz w:val="24"/>
              <w:szCs w:val="24"/>
            </w:rPr>
          </w:pPr>
          <w:r>
            <w:rPr>
              <w:sz w:val="24"/>
              <w:szCs w:val="24"/>
            </w:rPr>
            <w:t>Merkblatt zur Verpflichtungserklärung</w:t>
          </w:r>
        </w:p>
        <w:p w14:paraId="3F7A548F" w14:textId="77777777" w:rsidR="00182552" w:rsidRDefault="008D706C">
          <w:r>
            <w:t>Strafvorschriften, auf die im Rahmen der Verpflichtung nach dem Verpflichtungsgesetz hingewiesen wurde.</w:t>
          </w:r>
        </w:p>
        <w:p w14:paraId="530ABF20" w14:textId="77777777" w:rsidR="00182552" w:rsidRDefault="008D706C">
          <w:pPr>
            <w:pStyle w:val="berschrift1"/>
          </w:pPr>
          <w:r>
            <w:t>§ 133 Verwahrungsbruch</w:t>
          </w:r>
        </w:p>
        <w:p w14:paraId="5E530BE9" w14:textId="77777777" w:rsidR="00182552" w:rsidRDefault="008D706C">
          <w:pPr>
            <w:spacing w:before="120" w:after="120" w:line="240" w:lineRule="auto"/>
            <w:ind w:left="425" w:hanging="425"/>
            <w:rPr>
              <w:rFonts w:cs="Arial"/>
            </w:rPr>
          </w:pPr>
          <w:r>
            <w:rPr>
              <w:rFonts w:cs="Arial"/>
            </w:rPr>
            <w:t>(1)</w:t>
          </w:r>
          <w:r>
            <w:rPr>
              <w:rFonts w:cs="Arial"/>
            </w:rPr>
            <w:tab/>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32FCC8F4" w14:textId="77777777" w:rsidR="00182552" w:rsidRDefault="008D706C">
          <w:pPr>
            <w:spacing w:before="120" w:after="120" w:line="240" w:lineRule="auto"/>
            <w:ind w:left="425" w:hanging="425"/>
            <w:rPr>
              <w:rFonts w:cs="Arial"/>
            </w:rPr>
          </w:pPr>
          <w:r>
            <w:rPr>
              <w:rFonts w:cs="Arial"/>
            </w:rPr>
            <w:t>(2)</w:t>
          </w:r>
          <w:r>
            <w:rPr>
              <w:rFonts w:cs="Arial"/>
            </w:rPr>
            <w:tab/>
            <w:t>Dasselbe gilt für Schriftstücke oder andere bewegliche Sachen, die sich in amtlicher Verwahrung einer Kirche oder anderen Religionsgesellschaft des öffentlichen Rechts befinden oder von dieser dem Täter oder einem anderen amtlich in Verwahrung gegeben worden sind.</w:t>
          </w:r>
        </w:p>
        <w:p w14:paraId="26B61448" w14:textId="77777777" w:rsidR="00182552" w:rsidRDefault="008D706C">
          <w:pPr>
            <w:spacing w:before="120" w:after="120" w:line="240" w:lineRule="auto"/>
            <w:ind w:left="425" w:hanging="425"/>
            <w:rPr>
              <w:rFonts w:cs="Arial"/>
            </w:rPr>
          </w:pPr>
          <w:r>
            <w:rPr>
              <w:rFonts w:cs="Arial"/>
            </w:rPr>
            <w:t>(3)</w:t>
          </w:r>
          <w:r>
            <w:rPr>
              <w:rFonts w:cs="Arial"/>
            </w:rPr>
            <w:tab/>
            <w:t>Wer die Tat an einer Sache begeht, die ihm als Amtsträger oder für den öffentlichen Dienst besonders Verpflichteten anvertraut worden oder zugänglich geworden ist, wird mit Freiheitsstrafe bis zu fünf Jahren oder mit Geldstrafe bestraft.</w:t>
          </w:r>
        </w:p>
        <w:p w14:paraId="3234C741" w14:textId="77777777" w:rsidR="00182552" w:rsidRDefault="008D706C">
          <w:pPr>
            <w:pStyle w:val="berschrift1"/>
          </w:pPr>
          <w:r>
            <w:t>§ 201 Verletzung der Vertraulichkeit des Wortes</w:t>
          </w:r>
        </w:p>
        <w:p w14:paraId="2DCCCBD3" w14:textId="77777777" w:rsidR="00182552" w:rsidRDefault="008D706C">
          <w:pPr>
            <w:spacing w:before="120" w:after="120" w:line="240" w:lineRule="auto"/>
            <w:ind w:left="425" w:hanging="425"/>
            <w:rPr>
              <w:rFonts w:cs="Arial"/>
            </w:rPr>
          </w:pPr>
          <w:r>
            <w:rPr>
              <w:rFonts w:cs="Arial"/>
            </w:rPr>
            <w:t>(1)</w:t>
          </w:r>
          <w:r>
            <w:rPr>
              <w:rFonts w:cs="Arial"/>
            </w:rPr>
            <w:tab/>
            <w:t xml:space="preserve">Mit Freiheitsstrafe bis zu drei Jahren oder mit Geldstrafe wird bestraft, wer unbefugt </w:t>
          </w:r>
        </w:p>
        <w:p w14:paraId="24B434DF" w14:textId="77777777" w:rsidR="00182552" w:rsidRDefault="008D706C">
          <w:pPr>
            <w:spacing w:line="240" w:lineRule="auto"/>
            <w:ind w:left="765" w:hanging="340"/>
            <w:rPr>
              <w:rFonts w:cs="Arial"/>
            </w:rPr>
          </w:pPr>
          <w:r>
            <w:rPr>
              <w:rFonts w:cs="Arial"/>
            </w:rPr>
            <w:t>1.</w:t>
          </w:r>
          <w:r>
            <w:rPr>
              <w:rFonts w:cs="Arial"/>
            </w:rPr>
            <w:tab/>
            <w:t>das nichtöffentlich gesprochene Wort eines anderen auf einen Tonträger aufnimmt oder</w:t>
          </w:r>
        </w:p>
        <w:p w14:paraId="305D12F9" w14:textId="77777777" w:rsidR="00182552" w:rsidRDefault="008D706C">
          <w:pPr>
            <w:spacing w:line="240" w:lineRule="auto"/>
            <w:ind w:left="765" w:hanging="340"/>
            <w:rPr>
              <w:rFonts w:cs="Arial"/>
            </w:rPr>
          </w:pPr>
          <w:r>
            <w:rPr>
              <w:rFonts w:cs="Arial"/>
            </w:rPr>
            <w:t>2.</w:t>
          </w:r>
          <w:r>
            <w:rPr>
              <w:rFonts w:cs="Arial"/>
            </w:rPr>
            <w:tab/>
            <w:t>eine so hergestellte Aufnahme gebraucht oder einem Dritten zugänglich macht.</w:t>
          </w:r>
        </w:p>
        <w:p w14:paraId="7DADAAA0"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w:t>
          </w:r>
        </w:p>
        <w:p w14:paraId="0A77C9F8" w14:textId="77777777" w:rsidR="00182552" w:rsidRDefault="008D706C">
          <w:pPr>
            <w:spacing w:line="240" w:lineRule="auto"/>
            <w:ind w:left="765" w:hanging="340"/>
            <w:rPr>
              <w:rFonts w:cs="Arial"/>
            </w:rPr>
          </w:pPr>
          <w:r>
            <w:rPr>
              <w:rFonts w:cs="Arial"/>
            </w:rPr>
            <w:t>1.</w:t>
          </w:r>
          <w:r>
            <w:rPr>
              <w:rFonts w:cs="Arial"/>
            </w:rPr>
            <w:tab/>
            <w:t>das nicht zu seiner Kenntnis bestimmte nichtöffentlich gesprochene Wort eines anderen mit einem Abhörgerät abhört oder</w:t>
          </w:r>
        </w:p>
        <w:p w14:paraId="308BDCBA" w14:textId="77777777" w:rsidR="00182552" w:rsidRDefault="008D706C">
          <w:pPr>
            <w:spacing w:line="240" w:lineRule="auto"/>
            <w:ind w:left="765" w:hanging="340"/>
            <w:rPr>
              <w:rFonts w:cs="Arial"/>
            </w:rPr>
          </w:pPr>
          <w:r>
            <w:rPr>
              <w:rFonts w:cs="Arial"/>
            </w:rPr>
            <w:t>2.</w:t>
          </w:r>
          <w:r>
            <w:rPr>
              <w:rFonts w:cs="Arial"/>
            </w:rPr>
            <w:tab/>
            <w:t>das nach Absatz 1 Nr. 1 aufgenommene oder nach Absatz 2 Nr. 1 abgehörte</w:t>
          </w:r>
          <w:r>
            <w:rPr>
              <w:rFonts w:cs="Arial"/>
            </w:rPr>
            <w:tab/>
            <w:t>nichtöffentlich gesprochene Wort eines anderen im Wortlaut oder seinem wesentlichen Inhalt nach öffentlich mitteilt.</w:t>
          </w:r>
        </w:p>
        <w:p w14:paraId="009F96CD" w14:textId="77777777" w:rsidR="00182552" w:rsidRDefault="008D706C">
          <w:pPr>
            <w:spacing w:line="240" w:lineRule="auto"/>
            <w:ind w:left="567"/>
            <w:rPr>
              <w:rFonts w:cs="Arial"/>
            </w:rPr>
          </w:pPr>
          <w:r>
            <w:rPr>
              <w:rFonts w:cs="Arial"/>
            </w:rPr>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0568F80A" w14:textId="77777777" w:rsidR="00182552" w:rsidRDefault="008D706C">
          <w:pPr>
            <w:spacing w:before="120" w:after="120" w:line="240" w:lineRule="auto"/>
            <w:ind w:left="425" w:hanging="425"/>
            <w:rPr>
              <w:rFonts w:cs="Arial"/>
            </w:rPr>
          </w:pPr>
          <w:r>
            <w:rPr>
              <w:rFonts w:cs="Arial"/>
            </w:rPr>
            <w:t>(3)</w:t>
          </w:r>
          <w:r>
            <w:rPr>
              <w:rFonts w:cs="Arial"/>
            </w:rPr>
            <w:tab/>
            <w:t>Mit Freiheitsstrafe bis zu fünf Jahren oder mit Geldstrafe wird bestraft, wer als Amtsträger oder als für den öffentlichen Dienst besonders Verpflichteter die Vertraulichkeit des Wortes verletzt (Absätze 1 und 2).</w:t>
          </w:r>
        </w:p>
        <w:p w14:paraId="270048A4" w14:textId="77777777" w:rsidR="00182552" w:rsidRDefault="008D706C">
          <w:pPr>
            <w:spacing w:before="120" w:after="120" w:line="240" w:lineRule="auto"/>
            <w:ind w:left="425" w:hanging="425"/>
            <w:rPr>
              <w:rFonts w:cs="Arial"/>
            </w:rPr>
          </w:pPr>
          <w:r>
            <w:rPr>
              <w:rFonts w:cs="Arial"/>
            </w:rPr>
            <w:t>(4)</w:t>
          </w:r>
          <w:r>
            <w:rPr>
              <w:rFonts w:cs="Arial"/>
            </w:rPr>
            <w:tab/>
            <w:t>Der Versuch ist strafbar.</w:t>
          </w:r>
        </w:p>
        <w:p w14:paraId="50EF729C" w14:textId="77777777" w:rsidR="00182552" w:rsidRDefault="008D706C">
          <w:pPr>
            <w:spacing w:before="120" w:after="120" w:line="240" w:lineRule="auto"/>
            <w:ind w:left="425" w:hanging="425"/>
            <w:rPr>
              <w:rFonts w:cs="Arial"/>
            </w:rPr>
          </w:pPr>
          <w:r>
            <w:rPr>
              <w:rFonts w:cs="Arial"/>
            </w:rPr>
            <w:t>(5)</w:t>
          </w:r>
          <w:r>
            <w:rPr>
              <w:rFonts w:cs="Arial"/>
            </w:rPr>
            <w:tab/>
            <w:t>Die Tonträger und Abhörgeräte, die der Täter oder Teilnehmer verwendet hat, können eingezogen werden. § 74a ist anzuwenden.</w:t>
          </w:r>
        </w:p>
        <w:p w14:paraId="0D0C999D" w14:textId="77777777" w:rsidR="00182552" w:rsidRDefault="008D706C">
          <w:pPr>
            <w:pStyle w:val="berschrift1"/>
          </w:pPr>
          <w:r>
            <w:t>§ 202 Verletzung des Briefgeheimnisses</w:t>
          </w:r>
        </w:p>
        <w:p w14:paraId="376DCA0B" w14:textId="77777777" w:rsidR="00182552" w:rsidRDefault="008D706C">
          <w:pPr>
            <w:spacing w:before="120" w:after="120" w:line="240" w:lineRule="auto"/>
            <w:ind w:left="425" w:hanging="425"/>
            <w:rPr>
              <w:rFonts w:cs="Arial"/>
            </w:rPr>
          </w:pPr>
          <w:r>
            <w:rPr>
              <w:rFonts w:cs="Arial"/>
            </w:rPr>
            <w:t>(1)</w:t>
          </w:r>
          <w:r>
            <w:rPr>
              <w:rFonts w:cs="Arial"/>
            </w:rPr>
            <w:tab/>
            <w:t xml:space="preserve">Wer unbefugt </w:t>
          </w:r>
        </w:p>
        <w:p w14:paraId="09ECCFB5" w14:textId="77777777" w:rsidR="00182552" w:rsidRDefault="008D706C">
          <w:pPr>
            <w:spacing w:line="240" w:lineRule="auto"/>
            <w:ind w:left="765" w:hanging="340"/>
            <w:rPr>
              <w:rFonts w:cs="Arial"/>
            </w:rPr>
          </w:pPr>
          <w:r>
            <w:rPr>
              <w:rFonts w:cs="Arial"/>
            </w:rPr>
            <w:t>1.</w:t>
          </w:r>
          <w:r>
            <w:rPr>
              <w:rFonts w:cs="Arial"/>
            </w:rPr>
            <w:tab/>
            <w:t>einen verschlossenen Brief oder ein anderes verschlossenes Schriftstück, die nicht zu seiner Kenntnis bestimmt sind, öffnet oder</w:t>
          </w:r>
        </w:p>
        <w:p w14:paraId="5CE8FFB6" w14:textId="77777777" w:rsidR="00182552" w:rsidRDefault="008D706C">
          <w:pPr>
            <w:spacing w:line="240" w:lineRule="auto"/>
            <w:ind w:left="765" w:hanging="340"/>
            <w:rPr>
              <w:rFonts w:cs="Arial"/>
            </w:rPr>
          </w:pPr>
          <w:r>
            <w:rPr>
              <w:rFonts w:cs="Arial"/>
            </w:rPr>
            <w:t>2.</w:t>
          </w:r>
          <w:r>
            <w:rPr>
              <w:rFonts w:cs="Arial"/>
            </w:rPr>
            <w:tab/>
            <w:t>sich vom Inhalt eines solchen Schriftstücks ohne Öffnung des Verschlusses unter Anwendung technischer Mittel Kenntnis verschafft,</w:t>
          </w:r>
          <w:r>
            <w:rPr>
              <w:rFonts w:cs="Arial"/>
            </w:rPr>
            <w:br/>
            <w:t>wird mit Freiheitsstrafe bis zu einem Jahr oder mit Geldstrafe bestraft, wenn die Tat nicht in § 206 mit Strafe bedroht ist.</w:t>
          </w:r>
        </w:p>
        <w:p w14:paraId="71A6C25B" w14:textId="77777777" w:rsidR="00182552" w:rsidRDefault="008D706C">
          <w:pPr>
            <w:ind w:left="425" w:hanging="425"/>
            <w:rPr>
              <w:rFonts w:cs="Arial"/>
            </w:rPr>
          </w:pPr>
          <w:r>
            <w:rPr>
              <w:rFonts w:cs="Arial"/>
            </w:rPr>
            <w:t>(2)</w:t>
          </w:r>
          <w:r>
            <w:rPr>
              <w:rFonts w:cs="Arial"/>
            </w:rPr>
            <w:tab/>
            <w:t>Ebenso wird bestraft, wer sich unbefugt vom Inhalt eines Schriftstücks, das nicht zu seiner Kenntnis bestimmt und durch ein verschlossenes Behältnis gegen Kenntnisnahme besonders gesichert ist, Kenntnis verschafft, nachdem er dazu das Behältnis geöffnet hat.</w:t>
          </w:r>
        </w:p>
        <w:p w14:paraId="257B03B6" w14:textId="77777777" w:rsidR="00182552" w:rsidRDefault="008D706C">
          <w:pPr>
            <w:ind w:left="425" w:hanging="425"/>
            <w:rPr>
              <w:rFonts w:cs="Arial"/>
            </w:rPr>
          </w:pPr>
          <w:r>
            <w:rPr>
              <w:rFonts w:cs="Arial"/>
            </w:rPr>
            <w:t>(3)</w:t>
          </w:r>
          <w:r>
            <w:rPr>
              <w:rFonts w:cs="Arial"/>
            </w:rPr>
            <w:tab/>
            <w:t>Einem Schriftstück im Sinne der Absätze 1 und 2 steht eine Abbildung gleich.</w:t>
          </w:r>
        </w:p>
        <w:p w14:paraId="7B4A3142" w14:textId="77777777" w:rsidR="00182552" w:rsidRDefault="008D706C">
          <w:pPr>
            <w:pStyle w:val="berschrift1"/>
          </w:pPr>
          <w:r>
            <w:t>§ 202a Ausspähen von Daten</w:t>
          </w:r>
        </w:p>
        <w:p w14:paraId="6850B081" w14:textId="77777777" w:rsidR="00182552" w:rsidRDefault="008D706C">
          <w:pPr>
            <w:ind w:left="425" w:hanging="425"/>
            <w:rPr>
              <w:rFonts w:cs="Arial"/>
            </w:rPr>
          </w:pPr>
          <w:r>
            <w:rPr>
              <w:rFonts w:cs="Arial"/>
            </w:rPr>
            <w:t>(1)</w:t>
          </w:r>
          <w:r>
            <w:rPr>
              <w:rFonts w:cs="Arial"/>
            </w:rPr>
            <w:tab/>
            <w:t>Wer unbefugt sich oder einem anderen Zugang zu Daten, die nicht für ihn bestimmt und die gegen unberechtigten Zugang besonders gesichert sind, unter Überwindung der Zugangssicherung verschafft, wird mit Freiheitsstrafe bis zu drei Jahren oder mit Geldstrafe bestraft.</w:t>
          </w:r>
        </w:p>
        <w:p w14:paraId="7A9024B1" w14:textId="77777777" w:rsidR="00182552" w:rsidRDefault="008D706C">
          <w:pPr>
            <w:ind w:left="425" w:hanging="425"/>
            <w:rPr>
              <w:rFonts w:cs="Arial"/>
            </w:rPr>
          </w:pPr>
          <w:r>
            <w:rPr>
              <w:rFonts w:cs="Arial"/>
            </w:rPr>
            <w:t>(2)</w:t>
          </w:r>
          <w:r>
            <w:rPr>
              <w:rFonts w:cs="Arial"/>
            </w:rPr>
            <w:tab/>
            <w:t>Daten im Sinne des Absatzes 1 sind nur solche, die elektronisch, magnetisch oder sonst nicht unmittelbar wahrnehmbar gespeichert sind oder übermittelt werden.</w:t>
          </w:r>
        </w:p>
        <w:p w14:paraId="06DCA6B8" w14:textId="77777777" w:rsidR="00182552" w:rsidRDefault="008D706C">
          <w:pPr>
            <w:pStyle w:val="berschrift1"/>
          </w:pPr>
          <w:r>
            <w:t>§ 202b Abfangen von Daten</w:t>
          </w:r>
        </w:p>
        <w:p w14:paraId="59F4A39B" w14:textId="77777777" w:rsidR="00182552" w:rsidRDefault="008D706C">
          <w:pPr>
            <w:spacing w:line="240" w:lineRule="auto"/>
            <w:rPr>
              <w:rFonts w:cs="Arial"/>
            </w:rPr>
          </w:pPr>
          <w:r>
            <w:rPr>
              <w:rFonts w:cs="Arial"/>
            </w:rPr>
            <w:t>Wer unbefugt sich oder einem anderen unter Anwendung von technischen Mitteln nicht für ihn bestimmte Daten (§ 202a Abs. 2) aus einer nichtöffentlichen Datenübermittlung oder aus der elektromagnetischen Abstrahlung einer Datenverarbeitungsanlage verschafft, wird mit Freiheitsstrafe bis zu zwei Jahren oder mit Geldstrafe bestraft, wenn die Tat nicht in anderen Vorschriften mit schwererer Strafe bedroht ist.</w:t>
          </w:r>
        </w:p>
        <w:p w14:paraId="19354515" w14:textId="77777777" w:rsidR="00182552" w:rsidRDefault="008D706C">
          <w:pPr>
            <w:pStyle w:val="berschrift1"/>
          </w:pPr>
          <w:r>
            <w:t>§ 202c Vorbereiten des Ausspähens und Abfangens von Daten</w:t>
          </w:r>
        </w:p>
        <w:p w14:paraId="2BA7ECF4" w14:textId="77777777" w:rsidR="00182552" w:rsidRDefault="008D706C">
          <w:pPr>
            <w:spacing w:before="120" w:after="120" w:line="240" w:lineRule="auto"/>
            <w:ind w:left="425" w:hanging="425"/>
            <w:rPr>
              <w:rFonts w:cs="Arial"/>
            </w:rPr>
          </w:pPr>
          <w:r>
            <w:rPr>
              <w:rFonts w:cs="Arial"/>
            </w:rPr>
            <w:t>(1)</w:t>
          </w:r>
          <w:r>
            <w:rPr>
              <w:rFonts w:cs="Arial"/>
            </w:rPr>
            <w:tab/>
            <w:t xml:space="preserve">Wer eine Straftat nach § 202a oder § 202b vorbereitet, indem er </w:t>
          </w:r>
        </w:p>
        <w:p w14:paraId="643A1A90" w14:textId="77777777" w:rsidR="00182552" w:rsidRDefault="008D706C">
          <w:pPr>
            <w:spacing w:line="240" w:lineRule="auto"/>
            <w:ind w:left="765" w:hanging="340"/>
            <w:rPr>
              <w:rFonts w:cs="Arial"/>
            </w:rPr>
          </w:pPr>
          <w:r>
            <w:rPr>
              <w:rFonts w:cs="Arial"/>
            </w:rPr>
            <w:t>1.</w:t>
          </w:r>
          <w:r>
            <w:rPr>
              <w:rFonts w:cs="Arial"/>
            </w:rPr>
            <w:tab/>
            <w:t>Passwörter oder sonstige Sicherungscodes, die den Zugang zu Daten (§ 202a Abs. 2) ermöglichen, oder</w:t>
          </w:r>
        </w:p>
        <w:p w14:paraId="241A02EC" w14:textId="77777777" w:rsidR="00182552" w:rsidRDefault="008D706C">
          <w:pPr>
            <w:spacing w:line="240" w:lineRule="auto"/>
            <w:ind w:left="765" w:hanging="340"/>
            <w:rPr>
              <w:rFonts w:cs="Arial"/>
            </w:rPr>
          </w:pPr>
          <w:r>
            <w:rPr>
              <w:rFonts w:cs="Arial"/>
            </w:rPr>
            <w:t>2.</w:t>
          </w:r>
          <w:r>
            <w:rPr>
              <w:rFonts w:cs="Arial"/>
            </w:rPr>
            <w:tab/>
            <w:t>Computerprogramme, deren Zweck die Begehung einer solchen Tat ist,</w:t>
          </w:r>
          <w:r>
            <w:rPr>
              <w:rFonts w:cs="Arial"/>
            </w:rPr>
            <w:br/>
            <w:t>herstellt, sich oder einem anderen verschafft, verkauft, einem anderen überlässt, verbreitet oder sonst zugänglich macht, wird mit Freiheitsstrafe bis zu zwei Jahren oder mit Geldstrafe bestraft.</w:t>
          </w:r>
        </w:p>
        <w:p w14:paraId="14EECDD6" w14:textId="77777777" w:rsidR="00182552" w:rsidRDefault="008D706C">
          <w:pPr>
            <w:ind w:left="425" w:hanging="425"/>
            <w:rPr>
              <w:rFonts w:cs="Arial"/>
            </w:rPr>
          </w:pPr>
          <w:r>
            <w:rPr>
              <w:rFonts w:cs="Arial"/>
            </w:rPr>
            <w:t>(2)</w:t>
          </w:r>
          <w:r>
            <w:rPr>
              <w:rFonts w:cs="Arial"/>
            </w:rPr>
            <w:tab/>
            <w:t>§ 149 Abs. 2 und 3 gilt entsprechend.</w:t>
          </w:r>
        </w:p>
        <w:p w14:paraId="285B43C4" w14:textId="77777777" w:rsidR="00182552" w:rsidRDefault="008D706C">
          <w:pPr>
            <w:pStyle w:val="berschrift1"/>
          </w:pPr>
          <w:r>
            <w:t>§ 203 Verletzung von Privatgeheimnissen</w:t>
          </w:r>
        </w:p>
        <w:p w14:paraId="50437272" w14:textId="77777777" w:rsidR="00182552" w:rsidRDefault="008D706C">
          <w:pPr>
            <w:spacing w:before="120" w:after="120" w:line="240" w:lineRule="auto"/>
            <w:ind w:left="425" w:hanging="425"/>
            <w:rPr>
              <w:rFonts w:cs="Arial"/>
            </w:rPr>
          </w:pPr>
          <w:r>
            <w:rPr>
              <w:rFonts w:cs="Arial"/>
            </w:rPr>
            <w:t>(1)</w:t>
          </w:r>
          <w:r>
            <w:rPr>
              <w:rFonts w:cs="Arial"/>
            </w:rPr>
            <w:tab/>
            <w:t xml:space="preserve">Wer unbefugt ein fremdes Geheimnis, namentlich ein zum persönlichen Lebensbereich gehörendes Geheimnis oder ein Betriebs- oder Geschäftsgeheimnis, offenbart, das ihm als </w:t>
          </w:r>
        </w:p>
        <w:p w14:paraId="468A5AC0" w14:textId="77777777" w:rsidR="00182552" w:rsidRDefault="008D706C">
          <w:pPr>
            <w:spacing w:line="240" w:lineRule="auto"/>
            <w:ind w:left="765" w:hanging="340"/>
            <w:rPr>
              <w:rFonts w:cs="Arial"/>
            </w:rPr>
          </w:pPr>
          <w:r>
            <w:rPr>
              <w:rFonts w:cs="Arial"/>
            </w:rPr>
            <w:t>1.</w:t>
          </w:r>
          <w:r>
            <w:rPr>
              <w:rFonts w:cs="Arial"/>
            </w:rPr>
            <w:tab/>
            <w:t>Arzt, Zahnarzt, Tierarzt, Apotheker oder Angehörigen eines anderen Heilberufs, der für die Berufsausübung oder die Führung der Berufsbezeichnung eine staatlich geregelte Ausbildung erfordert,</w:t>
          </w:r>
        </w:p>
        <w:p w14:paraId="44C861B3" w14:textId="77777777" w:rsidR="00182552" w:rsidRDefault="008D706C">
          <w:pPr>
            <w:spacing w:line="240" w:lineRule="auto"/>
            <w:ind w:left="765" w:hanging="340"/>
            <w:rPr>
              <w:rFonts w:cs="Arial"/>
            </w:rPr>
          </w:pPr>
          <w:r>
            <w:rPr>
              <w:rFonts w:cs="Arial"/>
            </w:rPr>
            <w:t>2.</w:t>
          </w:r>
          <w:r>
            <w:rPr>
              <w:rFonts w:cs="Arial"/>
            </w:rPr>
            <w:tab/>
            <w:t>Berufspsychologen mit staatlich anerkannter wissenschaftlicher Abschlussprüfung,</w:t>
          </w:r>
        </w:p>
        <w:p w14:paraId="5658E3B9" w14:textId="77777777" w:rsidR="00182552" w:rsidRDefault="008D706C">
          <w:pPr>
            <w:spacing w:line="240" w:lineRule="auto"/>
            <w:ind w:left="765" w:hanging="340"/>
            <w:rPr>
              <w:rFonts w:cs="Arial"/>
            </w:rPr>
          </w:pPr>
          <w:r>
            <w:rPr>
              <w:rFonts w:cs="Arial"/>
            </w:rPr>
            <w:t>3.</w:t>
          </w:r>
          <w:r>
            <w:rPr>
              <w:rFonts w:cs="Arial"/>
            </w:rPr>
            <w:tab/>
            <w:t>Rechtsanwalt, Kammerrechtsbeistand, Patentanwalt, Notar, Verteidiger in einem gesetzlich geordneten Verfahren, Wirtschaftsprüfer, vereidigtem Buchprüfer, Steuerberater, Steuerbevollmächtigten oder Organ oder Mitglied eines Organs einer Rechtsanwalts-, Patentanwalts-, Wirtschaftsprüfungs-, Buchprüfungs- oder Steuerberatungsgesellschaft,</w:t>
          </w:r>
        </w:p>
        <w:p w14:paraId="2B2505ED" w14:textId="77777777" w:rsidR="00182552" w:rsidRDefault="008D706C">
          <w:pPr>
            <w:spacing w:line="240" w:lineRule="auto"/>
            <w:ind w:left="765" w:hanging="340"/>
            <w:rPr>
              <w:rFonts w:cs="Arial"/>
            </w:rPr>
          </w:pPr>
          <w:r>
            <w:rPr>
              <w:rFonts w:cs="Arial"/>
            </w:rPr>
            <w:t>4.</w:t>
          </w:r>
          <w:r>
            <w:rPr>
              <w:rFonts w:cs="Arial"/>
            </w:rPr>
            <w:tab/>
            <w:t>Ehe-, Familien-, Erziehungs- oder Jugendberater sowie Berater für Suchtfragen in einer Beratungsstelle, die von einer Behörde oder Körperschaft, Anstalt oder Stiftung des öffentlichen Rechts anerkannt ist,</w:t>
          </w:r>
        </w:p>
        <w:p w14:paraId="46612725" w14:textId="77777777" w:rsidR="00182552" w:rsidRDefault="008D706C">
          <w:pPr>
            <w:spacing w:line="240" w:lineRule="auto"/>
            <w:ind w:left="765" w:hanging="340"/>
            <w:rPr>
              <w:rFonts w:cs="Arial"/>
            </w:rPr>
          </w:pPr>
          <w:r>
            <w:rPr>
              <w:rFonts w:cs="Arial"/>
            </w:rPr>
            <w:t>5.</w:t>
          </w:r>
          <w:r>
            <w:rPr>
              <w:rFonts w:cs="Arial"/>
            </w:rPr>
            <w:tab/>
            <w:t>Mitglied oder Beauftragten einer anerkannten Beratungsstelle nach den §§ 3 und 8 des Schwangerschaftskonfliktgesetzes,</w:t>
          </w:r>
        </w:p>
        <w:p w14:paraId="18278C50" w14:textId="77777777" w:rsidR="00182552" w:rsidRDefault="008D706C">
          <w:pPr>
            <w:spacing w:line="240" w:lineRule="auto"/>
            <w:ind w:left="765" w:hanging="340"/>
            <w:rPr>
              <w:rFonts w:cs="Arial"/>
            </w:rPr>
          </w:pPr>
          <w:r>
            <w:rPr>
              <w:rFonts w:cs="Arial"/>
            </w:rPr>
            <w:t>6.</w:t>
          </w:r>
          <w:r>
            <w:rPr>
              <w:rFonts w:cs="Arial"/>
            </w:rPr>
            <w:tab/>
            <w:t>staatlich anerkanntem Sozialarbeiter oder staatlich anerkanntem Sozialpädagogen oder</w:t>
          </w:r>
        </w:p>
        <w:p w14:paraId="403E92AF" w14:textId="77777777" w:rsidR="00182552" w:rsidRDefault="008D706C">
          <w:pPr>
            <w:spacing w:line="240" w:lineRule="auto"/>
            <w:ind w:left="765" w:hanging="340"/>
            <w:rPr>
              <w:rFonts w:cs="Arial"/>
            </w:rPr>
          </w:pPr>
          <w:r>
            <w:rPr>
              <w:rFonts w:cs="Arial"/>
            </w:rPr>
            <w:t>7.</w:t>
          </w:r>
          <w:r>
            <w:rPr>
              <w:rFonts w:cs="Arial"/>
            </w:rPr>
            <w:tab/>
            <w:t>Angehörigen eines Unternehmens der privaten Kranken-, Unfall- oder Lebensversicherung oder einer privatärztlichen, steuerberaterlichen oder anwaltlichen Verrechnungsstelle</w:t>
          </w:r>
        </w:p>
        <w:p w14:paraId="3B8E1133" w14:textId="77777777" w:rsidR="00182552" w:rsidRDefault="008D706C">
          <w:pPr>
            <w:spacing w:line="240" w:lineRule="auto"/>
            <w:ind w:left="567"/>
            <w:rPr>
              <w:rFonts w:cs="Arial"/>
            </w:rPr>
          </w:pPr>
          <w:r>
            <w:rPr>
              <w:rFonts w:cs="Arial"/>
            </w:rPr>
            <w:t>anvertraut worden oder sonst bekanntgeworden ist, wird mit Freiheitsstrafe bis zu einem Jahr oder mit Geldstrafe bestraft.</w:t>
          </w:r>
        </w:p>
        <w:p w14:paraId="5436B242" w14:textId="77777777" w:rsidR="00182552" w:rsidRDefault="008D706C">
          <w:pPr>
            <w:spacing w:before="120" w:after="120" w:line="240" w:lineRule="auto"/>
            <w:ind w:left="425" w:hanging="425"/>
            <w:rPr>
              <w:rFonts w:cs="Arial"/>
            </w:rPr>
          </w:pPr>
          <w:r>
            <w:rPr>
              <w:rFonts w:cs="Arial"/>
            </w:rPr>
            <w:t>(2)</w:t>
          </w:r>
          <w:r>
            <w:rPr>
              <w:rFonts w:cs="Arial"/>
            </w:rPr>
            <w:tab/>
            <w:t xml:space="preserve">Ebenso wird bestraft, wer unbefugt ein fremdes Geheimnis, namentlich ein zum persönlichen Lebensbereich gehörendes Geheimnis oder ein Betriebs- oder Geschäftsgeheimnis, offenbart, das ihm als </w:t>
          </w:r>
        </w:p>
        <w:p w14:paraId="51617AEC" w14:textId="77777777" w:rsidR="00182552" w:rsidRDefault="008D706C">
          <w:pPr>
            <w:spacing w:line="240" w:lineRule="auto"/>
            <w:ind w:left="765" w:hanging="340"/>
            <w:rPr>
              <w:rFonts w:cs="Arial"/>
            </w:rPr>
          </w:pPr>
          <w:r>
            <w:rPr>
              <w:rFonts w:cs="Arial"/>
            </w:rPr>
            <w:t>1.</w:t>
          </w:r>
          <w:r>
            <w:rPr>
              <w:rFonts w:cs="Arial"/>
            </w:rPr>
            <w:tab/>
            <w:t>Amtsträger oder Europäischer Amtsträger,</w:t>
          </w:r>
        </w:p>
        <w:p w14:paraId="23B58D9F"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w:t>
          </w:r>
        </w:p>
        <w:p w14:paraId="0706D718"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w:t>
          </w:r>
        </w:p>
        <w:p w14:paraId="2C766E64" w14:textId="77777777" w:rsidR="00182552" w:rsidRDefault="008D706C">
          <w:pPr>
            <w:spacing w:line="240" w:lineRule="auto"/>
            <w:ind w:left="765" w:hanging="340"/>
            <w:rPr>
              <w:rFonts w:cs="Arial"/>
            </w:rPr>
          </w:pPr>
          <w:r>
            <w:rPr>
              <w:rFonts w:cs="Arial"/>
            </w:rPr>
            <w:t>4.</w:t>
          </w:r>
          <w:r>
            <w:rPr>
              <w:rFonts w:cs="Arial"/>
            </w:rPr>
            <w:tab/>
            <w:t>Mitglied eines für ein Gesetzgebungsorgan des Bundes oder eines Landes tätigen Untersuchungsausschusses, sonstigen Ausschusses oder Rates, das</w:t>
          </w:r>
          <w:r>
            <w:rPr>
              <w:rFonts w:cs="Arial"/>
            </w:rPr>
            <w:tab/>
            <w:t>nicht selbst Mitglied des Gesetzgebungsorgans ist, oder als Hilfskraft eines</w:t>
          </w:r>
          <w:r>
            <w:rPr>
              <w:rFonts w:cs="Arial"/>
            </w:rPr>
            <w:tab/>
            <w:t>solchen Ausschusses oder Rates,</w:t>
          </w:r>
        </w:p>
        <w:p w14:paraId="5675AE6B" w14:textId="77777777" w:rsidR="00182552" w:rsidRDefault="008D706C">
          <w:pPr>
            <w:spacing w:line="240" w:lineRule="auto"/>
            <w:ind w:left="765" w:hanging="340"/>
            <w:rPr>
              <w:rFonts w:cs="Arial"/>
            </w:rPr>
          </w:pPr>
          <w:r>
            <w:rPr>
              <w:rFonts w:cs="Arial"/>
            </w:rPr>
            <w:t>5.</w:t>
          </w:r>
          <w:r>
            <w:rPr>
              <w:rFonts w:cs="Arial"/>
            </w:rPr>
            <w:tab/>
            <w:t>öffentlich bestelltem Sachverständigen, der auf die gewissenhafte Erfüllung seiner Obliegenheiten auf Grund eines Gesetzes förmlich verpflichtet worden ist, oder</w:t>
          </w:r>
        </w:p>
        <w:p w14:paraId="7BB132A2" w14:textId="77777777" w:rsidR="00182552" w:rsidRDefault="008D706C">
          <w:pPr>
            <w:spacing w:line="240" w:lineRule="auto"/>
            <w:ind w:left="765" w:hanging="340"/>
            <w:rPr>
              <w:rFonts w:cs="Arial"/>
            </w:rPr>
          </w:pPr>
          <w:r>
            <w:rPr>
              <w:rFonts w:cs="Arial"/>
            </w:rPr>
            <w:t>6.</w:t>
          </w:r>
          <w:r>
            <w:rPr>
              <w:rFonts w:cs="Arial"/>
            </w:rPr>
            <w:tab/>
            <w:t>Person, die auf die gewissenhafte Erfüllung ihrer Geheimhaltungspflicht bei der Durchführung wissenschaftlicher Forschungsvorhaben auf Grund eines Gesetzes förmlich verpflichtet worden ist,</w:t>
          </w:r>
        </w:p>
        <w:p w14:paraId="57F0630B" w14:textId="77777777" w:rsidR="00182552" w:rsidRDefault="008D706C">
          <w:pPr>
            <w:spacing w:line="240" w:lineRule="auto"/>
            <w:ind w:left="567"/>
            <w:rPr>
              <w:rFonts w:cs="Arial"/>
            </w:rPr>
          </w:pPr>
          <w:r>
            <w:rPr>
              <w:rFonts w:cs="Arial"/>
            </w:rPr>
            <w:t>anvertraut worden oder sonst bekanntgeworden ist. Einem Geheimnis im Sinne des Satzes 1 stehen Einzelangaben über persönliche oder sachliche Verhältnisse eines anderen gleich, die für Aufgaben der öffentlichen Verwaltung erfaßt worden sind; Satz 1 ist jedoch nicht anzuwenden, soweit solche Einzelangaben anderen Behörden oder sonstigen Stellen für Aufgaben der öffentlichen Verwaltung bekanntgegeben werden und das Gesetz dies nicht untersagt.</w:t>
          </w:r>
        </w:p>
        <w:p w14:paraId="3C146FF1" w14:textId="77777777" w:rsidR="00182552" w:rsidRDefault="008D706C">
          <w:pPr>
            <w:spacing w:before="120" w:after="120" w:line="240" w:lineRule="auto"/>
            <w:ind w:left="425" w:hanging="425"/>
            <w:rPr>
              <w:rFonts w:cs="Arial"/>
            </w:rPr>
          </w:pPr>
          <w:r>
            <w:rPr>
              <w:rFonts w:cs="Arial"/>
            </w:rPr>
            <w:t>(3)</w:t>
          </w:r>
          <w:r>
            <w:rPr>
              <w:rFonts w:cs="Arial"/>
            </w:rPr>
            <w:tab/>
            <w:t>Kein Offenbaren im Sinne dieser Vorschrift liegt vor, wenn die in den Absätzen 1 und 2 genannten Personen Geheimnisse den bei ihnen berufsmäßig tätigen Gehilfen oder den bei ihnen zur Vorbereitung auf den Beruf tätigen Personen zugänglich machen. Die in den Absätzen 1 und 2 Genannten dürfen fremde Geheimnisse gegenüber sonstigen Personen offenbaren, die an ihrer beruflichen oder dienstlichen Tätigkeit mitwirken, soweit dies für die Inanspruchnahme der Tätigkeit der sonstigen mitwirkenden Personen erforderlich ist; das Gleiche gilt für sonstige mitwirkende Personen, wenn diese sich weiterer Personen bedienen, die an der beruflichen oder dienstlichen Tätigkeit der in den Absätzen 1 und 2 Genannten mitwirken.</w:t>
          </w:r>
        </w:p>
        <w:p w14:paraId="77174D4F" w14:textId="77777777" w:rsidR="00182552" w:rsidRDefault="008D706C">
          <w:pPr>
            <w:spacing w:before="120" w:after="120" w:line="240" w:lineRule="auto"/>
            <w:ind w:left="425" w:hanging="425"/>
            <w:rPr>
              <w:rFonts w:cs="Arial"/>
            </w:rPr>
          </w:pPr>
          <w:r>
            <w:rPr>
              <w:rFonts w:cs="Arial"/>
            </w:rPr>
            <w:t>(4)</w:t>
          </w:r>
          <w:r>
            <w:rPr>
              <w:rFonts w:cs="Arial"/>
            </w:rPr>
            <w:tab/>
            <w:t xml:space="preserve">Mit Freiheitsstrafe bis zu einem Jahr oder mit Geldstrafe wird bestraft, wer unbefugt ein fremdes Geheimnis offenbart, das ihm bei der Ausübung oder bei Gelegenheit seiner Tätigkeit als mitwirkende Person oder als bei den in den Absätzen 1 und 2 genannten Personen tätiger Beauftragter für den Datenschutz bekannt geworden ist. Ebenso wird bestraft, wer </w:t>
          </w:r>
        </w:p>
        <w:p w14:paraId="53FDCAF5" w14:textId="77777777" w:rsidR="00182552" w:rsidRDefault="008D706C">
          <w:pPr>
            <w:spacing w:line="240" w:lineRule="auto"/>
            <w:ind w:left="765" w:hanging="340"/>
            <w:rPr>
              <w:rFonts w:cs="Arial"/>
            </w:rPr>
          </w:pPr>
          <w:r>
            <w:rPr>
              <w:rFonts w:cs="Arial"/>
            </w:rPr>
            <w:t>1.</w:t>
          </w:r>
          <w:r>
            <w:rPr>
              <w:rFonts w:cs="Arial"/>
            </w:rPr>
            <w:tab/>
            <w:t>als in den Absätzen 1 und 2 genannte Person nicht dafür Sorge getragen hat, dass eine sonstige mitwirkende Person, die unbefugt ein fremdes, ihr bei der Ausübung oder bei Gelegenheit ihrer Tätigkeit bekannt gewordenes Geheimnis offenbart, zur Geheimhaltung verpflichtet wurde; dies gilt nicht für sonstige mitwirkende Personen, die selbst eine in den Absätzen 1 oder 2 genannte Person sind,</w:t>
          </w:r>
        </w:p>
        <w:p w14:paraId="4A5FEB33" w14:textId="77777777" w:rsidR="00182552" w:rsidRDefault="008D706C">
          <w:pPr>
            <w:spacing w:line="240" w:lineRule="auto"/>
            <w:ind w:left="765" w:hanging="340"/>
            <w:rPr>
              <w:rFonts w:cs="Arial"/>
            </w:rPr>
          </w:pPr>
          <w:r>
            <w:rPr>
              <w:rFonts w:cs="Arial"/>
            </w:rPr>
            <w:t>2.</w:t>
          </w:r>
          <w:r>
            <w:rPr>
              <w:rFonts w:cs="Arial"/>
            </w:rPr>
            <w:tab/>
            <w:t>als im Absatz 3 genannte mitwirkende Person sich einer weiteren mitwirkenden Person, die unbefugt ein fremdes, ihr bei der Ausübung oder bei Gelegenheit ihrer Tätigkeit bekannt gewordenes Geheimnis offenbart, bedient und nicht dafür Sorge getragen hat, dass diese zur Geheimhaltung verpflichtet wurde; dies gilt nicht für sonstige mitwirkende Personen, die selbst eine in den Absätzen 1 oder 2 genannte Person sind, oder</w:t>
          </w:r>
        </w:p>
        <w:p w14:paraId="5CCEE755" w14:textId="77777777" w:rsidR="00182552" w:rsidRDefault="008D706C">
          <w:pPr>
            <w:spacing w:line="240" w:lineRule="auto"/>
            <w:ind w:left="765" w:hanging="340"/>
            <w:rPr>
              <w:rFonts w:cs="Arial"/>
            </w:rPr>
          </w:pPr>
          <w:r>
            <w:rPr>
              <w:rFonts w:cs="Arial"/>
            </w:rPr>
            <w:t>3.</w:t>
          </w:r>
          <w:r>
            <w:rPr>
              <w:rFonts w:cs="Arial"/>
            </w:rPr>
            <w:tab/>
            <w:t>nach dem Tod, der nach Satz 1 oder nach den Absätzen 1 oder 2 verpflichteten Person ein fremdes Geheimnis unbefugt offenbart, das er von dem Verstorbenen erfahren oder aus dessen Nachlass erlangt hat.</w:t>
          </w:r>
        </w:p>
        <w:p w14:paraId="088D7FA0" w14:textId="77777777" w:rsidR="00182552" w:rsidRDefault="008D706C">
          <w:pPr>
            <w:spacing w:before="120" w:after="120" w:line="240" w:lineRule="auto"/>
            <w:ind w:left="425" w:hanging="425"/>
            <w:rPr>
              <w:rFonts w:cs="Arial"/>
            </w:rPr>
          </w:pPr>
          <w:r>
            <w:rPr>
              <w:rFonts w:cs="Arial"/>
            </w:rPr>
            <w:t>(5)</w:t>
          </w:r>
          <w:r>
            <w:rPr>
              <w:rFonts w:cs="Arial"/>
            </w:rPr>
            <w:tab/>
            <w:t>Die Absätze 1 bis 4 sind auch anzuwenden, wenn der Täter das fremde Geheimnis nach dem Tod des Betroffenen unbefugt offenbart.</w:t>
          </w:r>
        </w:p>
        <w:p w14:paraId="3765C523" w14:textId="77777777" w:rsidR="00182552" w:rsidRDefault="008D706C">
          <w:pPr>
            <w:spacing w:before="120" w:after="120" w:line="240" w:lineRule="auto"/>
            <w:ind w:left="425" w:hanging="425"/>
            <w:rPr>
              <w:rFonts w:cs="Arial"/>
            </w:rPr>
          </w:pPr>
          <w:r>
            <w:rPr>
              <w:rFonts w:cs="Arial"/>
            </w:rPr>
            <w:t>(6)</w:t>
          </w:r>
          <w:r>
            <w:rPr>
              <w:rFonts w:cs="Arial"/>
            </w:rPr>
            <w:tab/>
            <w:t>Handelt der Täter gegen Entgelt oder in der Absicht, sich oder einen anderen zu bereichern oder einen anderen zu schädigen, so ist die Strafe Freiheitsstrafe bis zu zwei Jahren oder Geldstrafe.</w:t>
          </w:r>
        </w:p>
        <w:p w14:paraId="5648A967" w14:textId="77777777" w:rsidR="00182552" w:rsidRDefault="008D706C">
          <w:pPr>
            <w:pStyle w:val="berschrift1"/>
          </w:pPr>
          <w:r>
            <w:t>§ 204 Verwertung fremder Geheimnisse</w:t>
          </w:r>
        </w:p>
        <w:p w14:paraId="3C97BE84" w14:textId="77777777" w:rsidR="00182552" w:rsidRDefault="008D706C">
          <w:pPr>
            <w:spacing w:before="120" w:after="120" w:line="240" w:lineRule="auto"/>
            <w:ind w:left="425" w:hanging="425"/>
            <w:rPr>
              <w:rFonts w:cs="Arial"/>
            </w:rPr>
          </w:pPr>
          <w:r>
            <w:rPr>
              <w:rFonts w:cs="Arial"/>
            </w:rPr>
            <w:t>(1)</w:t>
          </w:r>
          <w:r>
            <w:rPr>
              <w:rFonts w:cs="Arial"/>
            </w:rPr>
            <w:tab/>
            <w:t>Wer unbefugt ein fremdes Geheimnis, namentlich ein Betriebs- oder Geschäftsgeheimnis, zu dessen Geheimhaltung er nach § 203 verpflichtet ist, verwertet, wird mit Freiheitsstrafe bis zu zwei Jahren oder mit Geldstrafe bestraft.</w:t>
          </w:r>
        </w:p>
        <w:p w14:paraId="2474AF96" w14:textId="77777777" w:rsidR="00182552" w:rsidRDefault="008D706C">
          <w:pPr>
            <w:spacing w:before="120" w:after="120" w:line="240" w:lineRule="auto"/>
            <w:ind w:left="425" w:hanging="425"/>
            <w:rPr>
              <w:rFonts w:cs="Arial"/>
            </w:rPr>
          </w:pPr>
          <w:r>
            <w:rPr>
              <w:rFonts w:cs="Arial"/>
            </w:rPr>
            <w:t>(2)</w:t>
          </w:r>
          <w:r>
            <w:rPr>
              <w:rFonts w:cs="Arial"/>
            </w:rPr>
            <w:tab/>
            <w:t>§ 203 Absatz 5 gilt entsprechend.</w:t>
          </w:r>
        </w:p>
        <w:p w14:paraId="2B80DAF8" w14:textId="77777777" w:rsidR="00182552" w:rsidRDefault="008D706C">
          <w:pPr>
            <w:pStyle w:val="berschrift1"/>
          </w:pPr>
          <w:r>
            <w:t>§ 331 Vorteilsannahme</w:t>
          </w:r>
        </w:p>
        <w:p w14:paraId="095D2EE5"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für die Dienstausübung einen Vorteil für sich oder einen Dritten fordert, sich versprechen lässt oder annimmt, wird mit Freiheitsstrafe bis zu drei Jahren oder mit Geldstrafe bestraft.</w:t>
          </w:r>
        </w:p>
        <w:p w14:paraId="56DCAFA7"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6B4B76CD" w14:textId="77777777" w:rsidR="00182552" w:rsidRDefault="008D706C">
          <w:pPr>
            <w:spacing w:before="120" w:after="120" w:line="240" w:lineRule="auto"/>
            <w:ind w:left="425" w:hanging="425"/>
            <w:rPr>
              <w:rFonts w:cs="Arial"/>
            </w:rPr>
          </w:pPr>
          <w:r>
            <w:rPr>
              <w:rFonts w:cs="Arial"/>
            </w:rPr>
            <w:t>(3)</w:t>
          </w:r>
          <w:r>
            <w:rPr>
              <w:rFonts w:cs="Arial"/>
            </w:rPr>
            <w:tab/>
            <w:t>Die Tat ist nicht nach Absatz 1 strafbar, wenn der Täter einen nicht von ihm geforderten Vorteil sich versprechen lässt oder annimmt und die zuständige Behörde im Rahmen ihrer Befugnisse entweder die Annahme vorher genehmigt hat oder der Täter unverzüglich bei ihr Anzeige erstattet und sie die Annahme genehmigt.</w:t>
          </w:r>
        </w:p>
        <w:p w14:paraId="49198E35" w14:textId="77777777" w:rsidR="00182552" w:rsidRDefault="008D706C">
          <w:pPr>
            <w:pStyle w:val="berschrift1"/>
          </w:pPr>
          <w:r>
            <w:t>§ 332 Bestechlichkeit</w:t>
          </w:r>
        </w:p>
        <w:p w14:paraId="74716B48" w14:textId="77777777" w:rsidR="00182552" w:rsidRDefault="008D706C">
          <w:pPr>
            <w:spacing w:before="120" w:after="120" w:line="240" w:lineRule="auto"/>
            <w:ind w:left="425" w:hanging="425"/>
            <w:rPr>
              <w:rFonts w:cs="Arial"/>
            </w:rPr>
          </w:pPr>
          <w:r>
            <w:rPr>
              <w:rFonts w:cs="Arial"/>
            </w:rPr>
            <w:t>(1)</w:t>
          </w:r>
          <w:r>
            <w:rPr>
              <w:rFonts w:cs="Arial"/>
            </w:rPr>
            <w:tab/>
            <w:t>Ein Amtsträger, ein Europäischer Amtsträger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Strafe Freiheitsstrafe bis zu drei Jahren oder Geldstrafe. Der Versuch ist strafbar.</w:t>
          </w:r>
        </w:p>
        <w:p w14:paraId="3E2D95CD" w14:textId="77777777" w:rsidR="00182552" w:rsidRDefault="008D706C">
          <w:pPr>
            <w:spacing w:before="120" w:after="120" w:line="240" w:lineRule="auto"/>
            <w:ind w:left="425" w:hanging="425"/>
            <w:rPr>
              <w:rFonts w:cs="Arial"/>
            </w:rPr>
          </w:pPr>
          <w:r>
            <w:rPr>
              <w:rFonts w:cs="Arial"/>
            </w:rPr>
            <w:t>(2)</w:t>
          </w:r>
          <w:r>
            <w:rPr>
              <w:rFonts w:cs="Arial"/>
            </w:rPr>
            <w:tab/>
            <w:t>Ein Richter, Mitglied eines Gerichts der Europäischen Union oder Schiedsrichter, der einen Vorteil für sich oder einen Dritten als Gegenleistung dafür fordert, sich versprechen lässt oder annimmt, daß er eine richterliche Handlung vorgenommen hat oder künftig vornehme und dadurch seine richterlichen Pflichten verletzt hat oder verletzen würde, wird mit Freiheitsstrafe von einem Jahr bis zu zehn Jahren bestraft. In minder schweren Fällen ist die Strafe Freiheitsstrafe von sechs Monaten bis zu fünf Jahren.</w:t>
          </w:r>
        </w:p>
        <w:p w14:paraId="75D8C1FF" w14:textId="77777777" w:rsidR="00182552" w:rsidRDefault="008D706C">
          <w:pPr>
            <w:spacing w:before="120" w:after="120" w:line="240" w:lineRule="auto"/>
            <w:ind w:left="425" w:hanging="425"/>
            <w:rPr>
              <w:rFonts w:cs="Arial"/>
            </w:rPr>
          </w:pPr>
          <w:r>
            <w:rPr>
              <w:rFonts w:cs="Arial"/>
            </w:rPr>
            <w:t>(3)</w:t>
          </w:r>
          <w:r>
            <w:rPr>
              <w:rFonts w:cs="Arial"/>
            </w:rPr>
            <w:tab/>
            <w:t xml:space="preserve">Falls der Täter den Vorteil als Gegenleistung für eine künftige Handlung fordert, sich versprechen lässt oder annimmt, so sind die Absätze 1 und 2 schon dann anzuwenden, wenn er sich dem anderen gegenüber bereit gezeigt hat, </w:t>
          </w:r>
        </w:p>
        <w:p w14:paraId="17973C64" w14:textId="77777777" w:rsidR="00182552" w:rsidRDefault="008D706C">
          <w:pPr>
            <w:spacing w:line="240" w:lineRule="auto"/>
            <w:ind w:left="765" w:hanging="340"/>
            <w:rPr>
              <w:rFonts w:cs="Arial"/>
            </w:rPr>
          </w:pPr>
          <w:r>
            <w:rPr>
              <w:rFonts w:cs="Arial"/>
            </w:rPr>
            <w:t>1.</w:t>
          </w:r>
          <w:r>
            <w:rPr>
              <w:rFonts w:cs="Arial"/>
            </w:rPr>
            <w:tab/>
            <w:t>bei der Handlung seine Pflichten zu verletzen oder,</w:t>
          </w:r>
        </w:p>
        <w:p w14:paraId="1FF47969" w14:textId="77777777" w:rsidR="00182552" w:rsidRDefault="008D706C">
          <w:pPr>
            <w:spacing w:line="240" w:lineRule="auto"/>
            <w:ind w:left="765" w:hanging="340"/>
            <w:rPr>
              <w:rFonts w:cs="Arial"/>
            </w:rPr>
          </w:pPr>
          <w:r>
            <w:rPr>
              <w:rFonts w:cs="Arial"/>
            </w:rPr>
            <w:t>2.</w:t>
          </w:r>
          <w:r>
            <w:rPr>
              <w:rFonts w:cs="Arial"/>
            </w:rPr>
            <w:tab/>
            <w:t>soweit die Handlung in seinem Ermessen steht, sich bei Ausübung des Ermessens durch den Vorteil beeinflussen zu lassen.</w:t>
          </w:r>
        </w:p>
        <w:p w14:paraId="00E263A6" w14:textId="77777777" w:rsidR="00182552" w:rsidRDefault="008D706C">
          <w:pPr>
            <w:pStyle w:val="berschrift1"/>
          </w:pPr>
          <w:r>
            <w:t>§ 353b Verletzung des Dienstgeheimnisses und einer besonderen Geheimhaltungspflicht</w:t>
          </w:r>
        </w:p>
        <w:p w14:paraId="08159B1E" w14:textId="77777777" w:rsidR="00182552" w:rsidRDefault="008D706C">
          <w:pPr>
            <w:spacing w:before="120" w:after="120" w:line="240" w:lineRule="auto"/>
            <w:ind w:left="425" w:hanging="425"/>
            <w:rPr>
              <w:rFonts w:cs="Arial"/>
            </w:rPr>
          </w:pPr>
          <w:r>
            <w:rPr>
              <w:rFonts w:cs="Arial"/>
            </w:rPr>
            <w:t>(1)</w:t>
          </w:r>
          <w:r>
            <w:rPr>
              <w:rFonts w:cs="Arial"/>
            </w:rPr>
            <w:tab/>
            <w:t xml:space="preserve">Wer ein Geheimnis, das ihm als </w:t>
          </w:r>
        </w:p>
        <w:p w14:paraId="3FEC9023" w14:textId="77777777" w:rsidR="00182552" w:rsidRDefault="008D706C">
          <w:pPr>
            <w:spacing w:line="240" w:lineRule="auto"/>
            <w:ind w:left="765" w:hanging="340"/>
            <w:rPr>
              <w:rFonts w:cs="Arial"/>
            </w:rPr>
          </w:pPr>
          <w:r>
            <w:rPr>
              <w:rFonts w:cs="Arial"/>
            </w:rPr>
            <w:t>1.</w:t>
          </w:r>
          <w:r>
            <w:rPr>
              <w:rFonts w:cs="Arial"/>
            </w:rPr>
            <w:tab/>
            <w:t>Amtsträger,</w:t>
          </w:r>
        </w:p>
        <w:p w14:paraId="71626392" w14:textId="77777777" w:rsidR="00182552" w:rsidRDefault="008D706C">
          <w:pPr>
            <w:spacing w:line="240" w:lineRule="auto"/>
            <w:ind w:left="765" w:hanging="340"/>
            <w:rPr>
              <w:rFonts w:cs="Arial"/>
            </w:rPr>
          </w:pPr>
          <w:r>
            <w:rPr>
              <w:rFonts w:cs="Arial"/>
            </w:rPr>
            <w:t>2.</w:t>
          </w:r>
          <w:r>
            <w:rPr>
              <w:rFonts w:cs="Arial"/>
            </w:rPr>
            <w:tab/>
            <w:t>für den öffentlichen Dienst besonders Verpflichteten oder</w:t>
          </w:r>
        </w:p>
        <w:p w14:paraId="6692B9E5" w14:textId="77777777" w:rsidR="00182552" w:rsidRDefault="008D706C">
          <w:pPr>
            <w:spacing w:line="240" w:lineRule="auto"/>
            <w:ind w:left="765" w:hanging="340"/>
            <w:rPr>
              <w:rFonts w:cs="Arial"/>
            </w:rPr>
          </w:pPr>
          <w:r>
            <w:rPr>
              <w:rFonts w:cs="Arial"/>
            </w:rPr>
            <w:t>3.</w:t>
          </w:r>
          <w:r>
            <w:rPr>
              <w:rFonts w:cs="Arial"/>
            </w:rPr>
            <w:tab/>
            <w:t>Person, die Aufgaben oder Befugnisse nach dem Personalvertretungsrecht wahrnimmt oder</w:t>
          </w:r>
        </w:p>
        <w:p w14:paraId="25F268B9" w14:textId="77777777" w:rsidR="00182552" w:rsidRDefault="008D706C">
          <w:pPr>
            <w:spacing w:line="240" w:lineRule="auto"/>
            <w:ind w:left="765" w:hanging="340"/>
            <w:rPr>
              <w:rFonts w:cs="Arial"/>
            </w:rPr>
          </w:pPr>
          <w:r>
            <w:rPr>
              <w:rFonts w:cs="Arial"/>
            </w:rPr>
            <w:t>4.</w:t>
          </w:r>
          <w:r>
            <w:rPr>
              <w:rFonts w:cs="Arial"/>
            </w:rPr>
            <w:tab/>
            <w:t>Europäischer Amtsträger,</w:t>
          </w:r>
        </w:p>
        <w:p w14:paraId="5FA85593" w14:textId="77777777" w:rsidR="00182552" w:rsidRDefault="008D706C">
          <w:pPr>
            <w:spacing w:line="240" w:lineRule="auto"/>
            <w:ind w:left="567"/>
            <w:rPr>
              <w:rFonts w:cs="Arial"/>
            </w:rPr>
          </w:pPr>
          <w:r>
            <w:rPr>
              <w:rFonts w:cs="Arial"/>
            </w:rPr>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7E7D679" w14:textId="77777777" w:rsidR="00182552" w:rsidRDefault="008D706C">
          <w:pPr>
            <w:spacing w:before="120" w:after="120" w:line="240" w:lineRule="auto"/>
            <w:ind w:left="425" w:hanging="425"/>
            <w:rPr>
              <w:rFonts w:cs="Arial"/>
            </w:rPr>
          </w:pPr>
          <w:r>
            <w:rPr>
              <w:rFonts w:cs="Arial"/>
            </w:rPr>
            <w:t>(2)</w:t>
          </w:r>
          <w:r>
            <w:rPr>
              <w:rFonts w:cs="Arial"/>
            </w:rPr>
            <w:tab/>
            <w:t xml:space="preserve">Wer, abgesehen von den Fällen des Absatzes 1, unbefugt einen Gegenstand oder eine Nachricht, zu deren Geheimhaltung er </w:t>
          </w:r>
        </w:p>
        <w:p w14:paraId="741BB346" w14:textId="77777777" w:rsidR="00182552" w:rsidRDefault="008D706C">
          <w:pPr>
            <w:spacing w:line="240" w:lineRule="auto"/>
            <w:ind w:left="765" w:hanging="340"/>
            <w:rPr>
              <w:rFonts w:cs="Arial"/>
            </w:rPr>
          </w:pPr>
          <w:r>
            <w:rPr>
              <w:rFonts w:cs="Arial"/>
            </w:rPr>
            <w:t>1.</w:t>
          </w:r>
          <w:r>
            <w:rPr>
              <w:rFonts w:cs="Arial"/>
            </w:rPr>
            <w:tab/>
            <w:t>auf Grund des Beschlusses eines Gesetzgebungsorgans des Bundes oder eines Landes oder eines seiner Ausschüsse verpflichtet ist oder</w:t>
          </w:r>
        </w:p>
        <w:p w14:paraId="65B98408" w14:textId="77777777" w:rsidR="00182552" w:rsidRDefault="008D706C">
          <w:pPr>
            <w:spacing w:line="240" w:lineRule="auto"/>
            <w:ind w:left="765" w:hanging="340"/>
            <w:rPr>
              <w:rFonts w:cs="Arial"/>
            </w:rPr>
          </w:pPr>
          <w:r>
            <w:rPr>
              <w:rFonts w:cs="Arial"/>
            </w:rPr>
            <w:t>2.</w:t>
          </w:r>
          <w:r>
            <w:rPr>
              <w:rFonts w:cs="Arial"/>
            </w:rPr>
            <w:tab/>
            <w:t>von einer anderen amtlichen Stelle unter Hinweis auf die Strafbarkeit der Verletzung der Geheimhaltungspflicht förmlich verpflichtet worden ist,</w:t>
          </w:r>
        </w:p>
        <w:p w14:paraId="190B0DA3" w14:textId="77777777" w:rsidR="00182552" w:rsidRDefault="008D706C">
          <w:pPr>
            <w:spacing w:line="240" w:lineRule="auto"/>
            <w:ind w:left="567"/>
            <w:rPr>
              <w:rFonts w:cs="Arial"/>
            </w:rPr>
          </w:pPr>
          <w:r>
            <w:rPr>
              <w:rFonts w:cs="Arial"/>
            </w:rPr>
            <w:t>an einen anderen gelangen lässt oder öffentlich bekanntmacht und dadurch wichtige öffentliche Interessen gefährdet, wird mit Freiheitsstrafe bis zu drei Jahren oder mit Geldstrafe bestraft.</w:t>
          </w:r>
        </w:p>
        <w:p w14:paraId="5816DAD0" w14:textId="77777777" w:rsidR="00182552" w:rsidRDefault="008D706C">
          <w:pPr>
            <w:spacing w:before="120" w:after="120" w:line="240" w:lineRule="auto"/>
            <w:ind w:left="425" w:hanging="425"/>
            <w:rPr>
              <w:rFonts w:cs="Arial"/>
            </w:rPr>
          </w:pPr>
          <w:r>
            <w:rPr>
              <w:rFonts w:cs="Arial"/>
            </w:rPr>
            <w:t>(3)</w:t>
          </w:r>
          <w:r>
            <w:rPr>
              <w:rFonts w:cs="Arial"/>
            </w:rPr>
            <w:tab/>
            <w:t>Der Versuch ist strafbar.</w:t>
          </w:r>
        </w:p>
        <w:p w14:paraId="7FD54B07" w14:textId="77777777" w:rsidR="00182552" w:rsidRDefault="008D706C">
          <w:pPr>
            <w:spacing w:before="120" w:after="120" w:line="240" w:lineRule="auto"/>
            <w:ind w:left="425" w:hanging="425"/>
            <w:rPr>
              <w:rFonts w:cs="Arial"/>
            </w:rPr>
          </w:pPr>
          <w:r>
            <w:rPr>
              <w:rFonts w:cs="Arial"/>
            </w:rPr>
            <w:t>(3a)</w:t>
          </w:r>
          <w:r>
            <w:rPr>
              <w:rFonts w:cs="Arial"/>
            </w:rPr>
            <w:tab/>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34AC5A35" w14:textId="77777777" w:rsidR="00182552" w:rsidRDefault="008D706C">
          <w:pPr>
            <w:spacing w:before="120" w:after="120" w:line="240" w:lineRule="auto"/>
            <w:ind w:left="425" w:hanging="425"/>
            <w:rPr>
              <w:rFonts w:cs="Arial"/>
            </w:rPr>
          </w:pPr>
          <w:r>
            <w:rPr>
              <w:rFonts w:cs="Arial"/>
            </w:rPr>
            <w:t>(4)</w:t>
          </w:r>
          <w:r>
            <w:rPr>
              <w:rFonts w:cs="Arial"/>
            </w:rPr>
            <w:tab/>
            <w:t xml:space="preserve">Die Tat wird nur mit Ermächtigung verfolgt. Die Ermächtigung wird erteilt </w:t>
          </w:r>
        </w:p>
        <w:p w14:paraId="530D7719" w14:textId="77777777" w:rsidR="00182552" w:rsidRDefault="008D706C">
          <w:pPr>
            <w:pStyle w:val="Listenabsatz"/>
            <w:numPr>
              <w:ilvl w:val="0"/>
              <w:numId w:val="10"/>
            </w:numPr>
            <w:spacing w:after="60" w:line="240" w:lineRule="auto"/>
            <w:ind w:hanging="357"/>
            <w:contextualSpacing w:val="0"/>
          </w:pPr>
          <w:r>
            <w:t>von dem Präsidenten des Gesetzgebungsorgans</w:t>
          </w:r>
        </w:p>
        <w:p w14:paraId="469EDDBD" w14:textId="77777777" w:rsidR="00182552" w:rsidRDefault="008D706C">
          <w:pPr>
            <w:pStyle w:val="Listenabsatz"/>
            <w:numPr>
              <w:ilvl w:val="0"/>
              <w:numId w:val="11"/>
            </w:numPr>
            <w:tabs>
              <w:tab w:val="left" w:pos="1134"/>
            </w:tabs>
            <w:spacing w:after="60" w:line="240" w:lineRule="auto"/>
            <w:ind w:hanging="357"/>
            <w:contextualSpacing w:val="0"/>
          </w:pPr>
          <w:r>
            <w:t>in den Fällen des Absatzes 1, wenn dem Täter das Geheimnis während seiner Tätigkeit bei einem oder für ein Gesetzgebungsorgan des Bundes oder eines Landes bekanntgeworden ist,</w:t>
          </w:r>
        </w:p>
        <w:p w14:paraId="57AD6577" w14:textId="77777777" w:rsidR="00182552" w:rsidRDefault="008D706C">
          <w:pPr>
            <w:pStyle w:val="Listenabsatz"/>
            <w:numPr>
              <w:ilvl w:val="0"/>
              <w:numId w:val="11"/>
            </w:numPr>
            <w:spacing w:after="60" w:line="240" w:lineRule="auto"/>
            <w:ind w:hanging="357"/>
            <w:contextualSpacing w:val="0"/>
          </w:pPr>
          <w:r>
            <w:t>in den Fällen des Absatzes 2 Nr. 1;</w:t>
          </w:r>
        </w:p>
        <w:p w14:paraId="321A5CD9" w14:textId="77777777" w:rsidR="00182552" w:rsidRDefault="008D706C">
          <w:pPr>
            <w:pStyle w:val="Listenabsatz"/>
            <w:numPr>
              <w:ilvl w:val="0"/>
              <w:numId w:val="10"/>
            </w:numPr>
            <w:spacing w:after="60" w:line="240" w:lineRule="auto"/>
            <w:ind w:hanging="357"/>
            <w:contextualSpacing w:val="0"/>
          </w:pPr>
          <w:r>
            <w:t>von der obersten Bundesbehörde</w:t>
          </w:r>
        </w:p>
        <w:p w14:paraId="3868C9C6" w14:textId="77777777" w:rsidR="00182552" w:rsidRDefault="008D706C">
          <w:pPr>
            <w:pStyle w:val="Listenabsatz"/>
            <w:numPr>
              <w:ilvl w:val="0"/>
              <w:numId w:val="11"/>
            </w:numPr>
            <w:spacing w:after="60" w:line="240" w:lineRule="auto"/>
            <w:ind w:hanging="357"/>
            <w:contextualSpacing w:val="0"/>
          </w:pPr>
          <w:r>
            <w:t>in den Fällen des Absatzes 1, wenn dem Täter das Geheimnis während seiner Tätigkeit sonst bei einer oder für eine Behörde oder bei einer anderen amtlichen Stelle des Bundes oder für eine solche Stelle bekanntgeworden ist,</w:t>
          </w:r>
        </w:p>
        <w:p w14:paraId="27117BB6" w14:textId="77777777" w:rsidR="00182552" w:rsidRDefault="008D706C">
          <w:pPr>
            <w:pStyle w:val="Listenabsatz"/>
            <w:numPr>
              <w:ilvl w:val="0"/>
              <w:numId w:val="11"/>
            </w:numPr>
            <w:spacing w:after="60" w:line="240" w:lineRule="auto"/>
            <w:ind w:hanging="357"/>
            <w:contextualSpacing w:val="0"/>
          </w:pPr>
          <w:r>
            <w:t>in den Fällen des Absatzes 2 Nr. 2, wenn der Täter von einer amtlichen Stelle des Bundes verpflichtet worden ist;</w:t>
          </w:r>
        </w:p>
        <w:p w14:paraId="64C3B33B" w14:textId="77777777" w:rsidR="00182552" w:rsidRDefault="008D706C">
          <w:pPr>
            <w:pStyle w:val="Listenabsatz"/>
            <w:numPr>
              <w:ilvl w:val="0"/>
              <w:numId w:val="10"/>
            </w:numPr>
            <w:spacing w:after="60" w:line="240" w:lineRule="auto"/>
            <w:ind w:hanging="357"/>
            <w:contextualSpacing w:val="0"/>
            <w:rPr>
              <w:rFonts w:cs="Arial"/>
            </w:rPr>
          </w:pPr>
          <w:r>
            <w:rPr>
              <w:rFonts w:cs="Arial"/>
            </w:rPr>
            <w:t>von der Bundesregierung in den Fällen des Absatzes 1 Satz 1 Nummer 4, wenn dem Täter das Geheimnis während seiner Tätigkeit bei einer Dienststelle der Europäischen Union bekannt geworden ist;</w:t>
          </w:r>
        </w:p>
        <w:p w14:paraId="42BFCE87" w14:textId="77777777" w:rsidR="00182552" w:rsidRDefault="008D706C">
          <w:pPr>
            <w:pStyle w:val="Listenabsatz"/>
            <w:numPr>
              <w:ilvl w:val="0"/>
              <w:numId w:val="10"/>
            </w:numPr>
            <w:spacing w:after="60" w:line="240" w:lineRule="auto"/>
            <w:ind w:hanging="357"/>
            <w:contextualSpacing w:val="0"/>
          </w:pPr>
          <w:r>
            <w:t>von der obersten Landesbehörde in allen übrigen Fällen der Absätze 1 und 2 Nr. 2.</w:t>
          </w:r>
        </w:p>
        <w:p w14:paraId="5362E0B1" w14:textId="77777777" w:rsidR="00182552" w:rsidRDefault="008D706C">
          <w:pPr>
            <w:spacing w:before="120" w:after="120" w:line="240" w:lineRule="auto"/>
            <w:ind w:left="425" w:hanging="425"/>
            <w:rPr>
              <w:rFonts w:cs="Arial"/>
            </w:rPr>
          </w:pPr>
          <w:r>
            <w:rPr>
              <w:rFonts w:cs="Arial"/>
            </w:rPr>
            <w:tab/>
            <w:t>In den Fällen des Satzes 2 Nummer 3 wird die Tat nur verfolgt, wenn zudem ein Strafverlangen der Dienststelle vorliegt.</w:t>
          </w:r>
        </w:p>
        <w:p w14:paraId="1352C35D" w14:textId="77777777" w:rsidR="00182552" w:rsidRDefault="008D706C">
          <w:pPr>
            <w:pStyle w:val="berschrift1"/>
          </w:pPr>
          <w:r>
            <w:t>§ 358 Nebenfolgen</w:t>
          </w:r>
        </w:p>
        <w:p w14:paraId="691D9130" w14:textId="77777777" w:rsidR="00182552" w:rsidRDefault="008D706C">
          <w:r>
            <w:t>Neben einer Freiheitsstrafe von mindestens sechs Monaten wegen einer Straftat nach den §§ 332, 335, 339, 340, 343, 344, 345 Abs. 1 und 3, §§ 348, 352 bis 353b Abs. 1, §§ 355 und 357 kann das Gericht die Fähigkeit, öffentliche Ämter zu bekleiden (§ 45 Abs. 2), aberkennen.</w:t>
          </w:r>
        </w:p>
        <w:p w14:paraId="2E57C670" w14:textId="77777777" w:rsidR="00182552" w:rsidRDefault="008D706C">
          <w:r>
            <w:br w:type="page"/>
          </w:r>
        </w:p>
        <w:p w14:paraId="78649505" w14:textId="77777777" w:rsidR="00182552" w:rsidRDefault="008D706C">
          <w:pPr>
            <w:pStyle w:val="Titel"/>
          </w:pPr>
          <w:r>
            <w:t>Anhang II</w:t>
          </w:r>
        </w:p>
        <w:p w14:paraId="45B5D4F5" w14:textId="77777777" w:rsidR="00182552" w:rsidRDefault="008D706C">
          <w:r>
            <w:t>Der Amtsträger bzw. der Verpflichtete hat folgende datenschutzrechtliche Vorgaben zu beachten:</w:t>
          </w:r>
        </w:p>
        <w:p w14:paraId="6BB78375" w14:textId="77777777" w:rsidR="00182552" w:rsidRDefault="008D706C">
          <w:pPr>
            <w:pStyle w:val="Aufgezaehlt1"/>
          </w:pPr>
          <w:r>
            <w:t>Sozialdaten dürfen - wenn keine Einwilligung bzw. keine Rechtsgrundlage gegeben ist - nicht an andere Personen oder Stellen weitergegeben werden</w:t>
          </w:r>
        </w:p>
        <w:p w14:paraId="7A3B1224" w14:textId="77777777" w:rsidR="00182552" w:rsidRDefault="008D706C">
          <w:pPr>
            <w:pStyle w:val="Aufgezaehlt1"/>
          </w:pPr>
          <w:r>
            <w:t>übermittelte Unterlagen müssen durch geeignete Maßnahmen vor dem Zugriff Unbefugter (z.B. Kollegen und Personal in der Praxis, Familienangehörige, beim Transport) geschützt werden.</w:t>
          </w:r>
        </w:p>
        <w:p w14:paraId="4733EBFC" w14:textId="77777777" w:rsidR="00182552" w:rsidRDefault="008D706C">
          <w:pPr>
            <w:pStyle w:val="Aufgezaehlt1"/>
          </w:pPr>
          <w:r>
            <w:t>elektronisch übermittelte und verschlüsselte Unterlagen dürfen nur in verschlüsselter Form gespeichert werden.</w:t>
          </w:r>
        </w:p>
        <w:p w14:paraId="2DF0F498" w14:textId="77777777" w:rsidR="00182552" w:rsidRDefault="008D706C">
          <w:pPr>
            <w:pStyle w:val="Aufgezaehlt1"/>
          </w:pPr>
          <w:r>
            <w:t>die Übermittlungsmail muss samt Anhang zum frühestmöglichen Zeitpunkt sowohl beim E-Mail-Provider als auch auf dem Rechner gelöscht werden.</w:t>
          </w:r>
        </w:p>
        <w:p w14:paraId="0FE44117" w14:textId="77777777" w:rsidR="00182552" w:rsidRDefault="008D706C">
          <w:pPr>
            <w:pStyle w:val="Aufgezaehlt1"/>
          </w:pPr>
          <w:r>
            <w:t>Papierunterlagen müssen datenschutzgerecht vernichtet werden</w:t>
          </w:r>
        </w:p>
        <w:p w14:paraId="42A1C8FA" w14:textId="77777777" w:rsidR="00182552" w:rsidRDefault="008D706C">
          <w:pPr>
            <w:pStyle w:val="Aufgezaehlt1"/>
          </w:pPr>
          <w:r>
            <w:t>ein Medium, auf dem elektronisch übermittelte Sozialdaten einmal gespeichert waren, sind bei Aussonderung ebenfalls datenschutzgerecht zu vernichten.</w:t>
          </w:r>
        </w:p>
        <w:p w14:paraId="53A7EC72" w14:textId="77777777" w:rsidR="00182552" w:rsidRDefault="008D706C">
          <w:r>
            <w:t>Die nachstehende Auswahl gesetzlicher Vorschriften soll einen Überblick über das datenschutzrechtliche Regelwerk verschaffen. Sie ist auszugsweise, keineswegs vollständig wiedergegeben.</w:t>
          </w:r>
        </w:p>
        <w:p w14:paraId="6C26B225" w14:textId="77777777" w:rsidR="00182552" w:rsidRDefault="008D706C">
          <w:pPr>
            <w:pStyle w:val="Titel"/>
          </w:pPr>
          <w:r>
            <w:t>Datenschutzgrundverordnung (DSGVO):</w:t>
          </w:r>
        </w:p>
        <w:p w14:paraId="238D2264" w14:textId="77777777" w:rsidR="00182552" w:rsidRDefault="008D706C">
          <w:pPr>
            <w:pStyle w:val="berschrift1"/>
            <w:rPr>
              <w:szCs w:val="24"/>
            </w:rPr>
          </w:pPr>
          <w:r>
            <w:rPr>
              <w:szCs w:val="24"/>
            </w:rPr>
            <w:t>Art. 4 Begriffsbestimmungen</w:t>
          </w:r>
        </w:p>
        <w:p w14:paraId="786D0DFF" w14:textId="77777777" w:rsidR="00182552" w:rsidRDefault="008D706C">
          <w:r>
            <w:t>Im Sinne dieser Verordnung bezeichnet der Ausdruck:</w:t>
          </w:r>
        </w:p>
        <w:p w14:paraId="0ABEEE45" w14:textId="77777777" w:rsidR="00182552" w:rsidRDefault="008D706C">
          <w:pPr>
            <w:pStyle w:val="Listenabsatz"/>
            <w:numPr>
              <w:ilvl w:val="0"/>
              <w:numId w:val="2"/>
            </w:numPr>
          </w:pPr>
          <w:r>
            <w:t>„personenbezogene Daten“ 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Standortdaten, zu einer Online-Kennung oder zu einem oder mehreren besonderen Merkmalen identifiziert werden kann, die Ausdruck der physischen, physiologischen, genetischen, psychischen, wirtschaftlichen, kulturellen oder sozialen Identität dieser natürlichen Person sind.</w:t>
          </w:r>
        </w:p>
        <w:p w14:paraId="59C77FA4" w14:textId="77777777" w:rsidR="00182552" w:rsidRDefault="008D706C">
          <w:pPr>
            <w:pStyle w:val="Listenabsatz"/>
            <w:numPr>
              <w:ilvl w:val="0"/>
              <w:numId w:val="2"/>
            </w:numPr>
          </w:pPr>
          <w:r>
            <w:t>„Verarbeitung“ jeden mit oder ohne Hilfe automatisierter Verfahren ausgeführten Vorgang oder jede solche Vorgangsreihe im Zusammenhang mit personenbezogenen Daten wie das Erheben, das Erfassen, die Organisation, das Ordnen, die Speicherung, die Anpassung oder Veränderung, das Auslesen, das Abfragen, die Ver-wendung, die Offenlegung durch Übermittlung, Verbreitung oder eine andere Form der Bereitstellung, den Abgleich oder die Verknüpfung, die Einschränkung, das Löschen oder die Vernichtung.</w:t>
          </w:r>
        </w:p>
        <w:p w14:paraId="5578A7B8" w14:textId="77777777" w:rsidR="00182552" w:rsidRDefault="008D706C">
          <w:pPr>
            <w:pStyle w:val="berschrift1"/>
          </w:pPr>
          <w:r>
            <w:t>Art. 5 Grundsätze der Verarbeitung personenbezogener Daten</w:t>
          </w:r>
        </w:p>
        <w:p w14:paraId="10C72253" w14:textId="77777777" w:rsidR="00182552" w:rsidRDefault="008D706C">
          <w:pPr>
            <w:tabs>
              <w:tab w:val="left" w:pos="426"/>
            </w:tabs>
          </w:pPr>
          <w:r>
            <w:t>(1)</w:t>
          </w:r>
          <w:r>
            <w:tab/>
            <w:t xml:space="preserve">Personenbezogene Daten müssen </w:t>
          </w:r>
        </w:p>
        <w:p w14:paraId="427C93E2" w14:textId="77777777" w:rsidR="00182552" w:rsidRDefault="008D706C">
          <w:pPr>
            <w:pStyle w:val="Listenabsatz"/>
            <w:numPr>
              <w:ilvl w:val="0"/>
              <w:numId w:val="20"/>
            </w:numPr>
          </w:pPr>
          <w:r>
            <w:t>auf rechtmäßige Weise, nach Treu und Glauben und in einer für die betroffene Person nachvollziehbaren Weise verarbeitet werden („Rechtmäßigkeit, Verarbeitung nach Treu und Glauben, Transparenz“);</w:t>
          </w:r>
        </w:p>
        <w:p w14:paraId="404214C0" w14:textId="77777777" w:rsidR="00182552" w:rsidRDefault="008D706C">
          <w:pPr>
            <w:pStyle w:val="Listenabsatz"/>
            <w:numPr>
              <w:ilvl w:val="0"/>
              <w:numId w:val="20"/>
            </w:numPr>
          </w:pPr>
          <w:r>
            <w:t>für festgelegte, eindeutige und legitime Zwecke erhoben werden und dürfen nicht in einer mit diesen Zwecken nicht zu vereinbarenden Weise weiterverarbeitet werden; eine Weiterverarbeitung für im öffentlichen Interesse liegende Archivzwecke, für wissenschaftliche oder historische Forschungszwecke oder für statistische Zwecke gilt gemäß Artikel 89 Absatz 1 nicht als unvereinbar mit den ursprünglichen Zwecken („Zweckbindung“);</w:t>
          </w:r>
        </w:p>
        <w:p w14:paraId="4222E6D0" w14:textId="77777777" w:rsidR="00182552" w:rsidRDefault="008D706C">
          <w:pPr>
            <w:pStyle w:val="Listenabsatz"/>
            <w:numPr>
              <w:ilvl w:val="0"/>
              <w:numId w:val="20"/>
            </w:numPr>
          </w:pPr>
          <w:r>
            <w:t>dem Zweck angemessen und erheblich sowie auf das für die Zwecke der Verarbeitung notwendige Maß beschränkt sein („Datenminimierung“);</w:t>
          </w:r>
        </w:p>
        <w:p w14:paraId="4FFD83F7" w14:textId="77777777" w:rsidR="00182552" w:rsidRDefault="008D706C">
          <w:pPr>
            <w:pStyle w:val="Listenabsatz"/>
            <w:numPr>
              <w:ilvl w:val="0"/>
              <w:numId w:val="20"/>
            </w:numPr>
          </w:pPr>
          <w: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4BBC82BB" w14:textId="77777777" w:rsidR="00182552" w:rsidRDefault="008D706C">
          <w:pPr>
            <w:pStyle w:val="Listenabsatz"/>
            <w:numPr>
              <w:ilvl w:val="0"/>
              <w:numId w:val="20"/>
            </w:numPr>
          </w:pPr>
          <w:r>
            <w:t>in einer Form gespeichert werden, die die Identifizierung der betroffenen Personen nur so lange ermöglicht, wie es für die Zwecke, für die sie verarbeitet werden, erforderlich ist; personenbezogene Daten dürfen länger gespeichert werden, soweit die personenbezogenen Daten vorbehaltlich der Durchführung geeigneter technischer und organisatorischer Maßnahmen, die von dieser Verordnung zum Schutz der Rechte und Freiheiten der betroffenen Person gefordert werden, ausschließlich für im öffentlichen Interesse liegende Archivzwecke oder für wissenschaftliche und historische Forschungszwecke oder für statistische Zwecke gemäß Artikel 89 Absatz 1 verarbeitet werden („Speicherbegrenzung“);</w:t>
          </w:r>
        </w:p>
        <w:p w14:paraId="19F01E45" w14:textId="77777777" w:rsidR="00182552" w:rsidRDefault="008D706C">
          <w:pPr>
            <w:pStyle w:val="Listenabsatz"/>
            <w:numPr>
              <w:ilvl w:val="0"/>
              <w:numId w:val="20"/>
            </w:numPr>
          </w:pPr>
          <w:r>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2BC60AD8" w14:textId="77777777" w:rsidR="00182552" w:rsidRDefault="008D706C">
          <w:pPr>
            <w:pStyle w:val="berschrift1"/>
          </w:pPr>
          <w:r>
            <w:t>Art. 33 Meldung von Verletzungen des Schutzes personenbezogener Daten an die Aufsichtsbehörde</w:t>
          </w:r>
        </w:p>
        <w:p w14:paraId="679AC8C6" w14:textId="77777777" w:rsidR="00182552" w:rsidRDefault="008D706C">
          <w:pPr>
            <w:tabs>
              <w:tab w:val="left" w:pos="426"/>
            </w:tabs>
          </w:pPr>
          <w:r>
            <w:t>(1)</w:t>
          </w:r>
          <w:r>
            <w:tab/>
            <w:t>Im Falle einer Verletzung des Schutzes personenbezogener Daten meldet der Verantwortliche unverzüglich und möglichst binnen 72 Stunden, nachdem ihm die Verletzung bekannt wurde, diese der gemäß Artikel 55 zuständigen Aufsichtsbehörde, es sei denn, dass die Verletzung des Schutzes personenbezogener Daten voraussichtlich nicht zu einem Risiko für die Rechte und Freiheiten natürlicher Personen führt. Erfolgt die Meldung an die Aufsichtsbehörde nicht binnen 72 Stunden, so ist ihr eine Begründung für die Verzögerung beizufügen.</w:t>
          </w:r>
        </w:p>
        <w:p w14:paraId="381538A2" w14:textId="77777777" w:rsidR="00182552" w:rsidRDefault="008D706C">
          <w:pPr>
            <w:pStyle w:val="berschrift1"/>
          </w:pPr>
          <w:r>
            <w:t xml:space="preserve">Art. 82 Haftung und Recht auf Schadenersatz </w:t>
          </w:r>
        </w:p>
        <w:p w14:paraId="212A7D7D" w14:textId="77777777" w:rsidR="00182552" w:rsidRDefault="008D706C">
          <w:pPr>
            <w:tabs>
              <w:tab w:val="left" w:pos="425"/>
            </w:tabs>
          </w:pPr>
          <w:r>
            <w:t>(1)</w:t>
          </w:r>
          <w:r>
            <w:tab/>
            <w:t>Jede Person, der wegen eines Verstoßes gegen diese Verordnung ein materieller oder immaterieller Schaden entstanden ist, hat Anspruch auf Schadenersatz gegen den Verantwortlichen oder gegen den Auftragsverarbeiter.</w:t>
          </w:r>
        </w:p>
        <w:p w14:paraId="761CE7B1" w14:textId="77777777" w:rsidR="00182552" w:rsidRDefault="008D706C">
          <w:pPr>
            <w:pStyle w:val="Titel"/>
          </w:pPr>
          <w:r>
            <w:t>Bayerisches Datenschutzgesetz</w:t>
          </w:r>
        </w:p>
        <w:p w14:paraId="4DF175D9" w14:textId="77777777" w:rsidR="00182552" w:rsidRDefault="008D706C">
          <w:pPr>
            <w:pStyle w:val="berschrift1"/>
          </w:pPr>
          <w:r>
            <w:t>Art. 11 Datengeheimnis</w:t>
          </w:r>
        </w:p>
        <w:p w14:paraId="4342EC1C" w14:textId="77777777" w:rsidR="00182552" w:rsidRDefault="008D706C">
          <w:r>
            <w:rPr>
              <w:vertAlign w:val="superscript"/>
            </w:rPr>
            <w:t>1</w:t>
          </w:r>
          <w:r>
            <w:t xml:space="preserve">Den bei öffentlichen Stellen beschäftigten Personen ist es untersagt, personenbezogene Daten unbefugt zu verarbeiten (Datengeheimnis). </w:t>
          </w:r>
          <w:r>
            <w:rPr>
              <w:vertAlign w:val="superscript"/>
            </w:rPr>
            <w:t>2</w:t>
          </w:r>
          <w:r>
            <w:t>Das Datengeheimnis besteht nach dem Ende ihrer Tätigkeit fort.</w:t>
          </w:r>
        </w:p>
        <w:p w14:paraId="7968C5AF" w14:textId="77777777" w:rsidR="00182552" w:rsidRDefault="008D706C">
          <w:pPr>
            <w:pStyle w:val="berschrift1"/>
          </w:pPr>
          <w:r>
            <w:t>Art. 23 Ordnungswidrigkeiten, Strafvorschrift</w:t>
          </w:r>
        </w:p>
        <w:p w14:paraId="4374D0C5" w14:textId="77777777" w:rsidR="00182552" w:rsidRDefault="008D706C">
          <w:pPr>
            <w:tabs>
              <w:tab w:val="left" w:pos="426"/>
            </w:tabs>
            <w:ind w:left="425" w:hanging="425"/>
          </w:pPr>
          <w:r>
            <w:rPr>
              <w:rFonts w:cs="Arial"/>
              <w:color w:val="000000" w:themeColor="text1"/>
            </w:rPr>
            <w:t>(1)</w:t>
          </w:r>
          <w:r>
            <w:rPr>
              <w:rFonts w:cs="Arial"/>
              <w:color w:val="000000" w:themeColor="text1"/>
            </w:rPr>
            <w:tab/>
          </w:r>
          <w:r>
            <w:t>Mit Geldbuße bis zu dreißigtausend Euro kann belegt werden, wer personenbezogene Daten, die durch eine öffentliche Stelle im Sinne des Art. 1 Abs. 1, 2 oder Abs. 4 verarbeitet werden und nicht offenkundig sind,</w:t>
          </w:r>
        </w:p>
        <w:p w14:paraId="7379FBB1" w14:textId="77777777" w:rsidR="00182552" w:rsidRDefault="008D706C">
          <w:pPr>
            <w:pStyle w:val="KeinLeerraum"/>
          </w:pPr>
          <w:r>
            <w:t>1. unbefugt</w:t>
          </w:r>
        </w:p>
        <w:p w14:paraId="29B9A53F" w14:textId="77777777" w:rsidR="00182552" w:rsidRDefault="008D706C">
          <w:pPr>
            <w:pStyle w:val="berschrift4"/>
            <w:numPr>
              <w:ilvl w:val="4"/>
              <w:numId w:val="5"/>
            </w:numPr>
            <w:rPr>
              <w:color w:val="auto"/>
            </w:rPr>
          </w:pPr>
          <w:r>
            <w:rPr>
              <w:color w:val="auto"/>
            </w:rPr>
            <w:t>speichert, verändert oder übermittelt,</w:t>
          </w:r>
        </w:p>
        <w:p w14:paraId="520523BF" w14:textId="77777777" w:rsidR="00182552" w:rsidRDefault="008D706C">
          <w:pPr>
            <w:pStyle w:val="berschrift4"/>
            <w:numPr>
              <w:ilvl w:val="4"/>
              <w:numId w:val="5"/>
            </w:numPr>
            <w:rPr>
              <w:color w:val="auto"/>
            </w:rPr>
          </w:pPr>
          <w:r>
            <w:rPr>
              <w:color w:val="auto"/>
            </w:rPr>
            <w:t>zum Abruf mittels automatisierten Verfahrens bereithält oder</w:t>
          </w:r>
        </w:p>
        <w:p w14:paraId="2A3949A1" w14:textId="77777777" w:rsidR="00182552" w:rsidRDefault="008D706C">
          <w:pPr>
            <w:pStyle w:val="berschrift4"/>
            <w:numPr>
              <w:ilvl w:val="4"/>
              <w:numId w:val="5"/>
            </w:numPr>
            <w:rPr>
              <w:color w:val="auto"/>
            </w:rPr>
          </w:pPr>
          <w:r>
            <w:rPr>
              <w:color w:val="auto"/>
            </w:rPr>
            <w:t>abruft oder sich oder einem anderen aus Dateien verschafft oder</w:t>
          </w:r>
        </w:p>
        <w:p w14:paraId="72CA66E6" w14:textId="77777777" w:rsidR="00182552" w:rsidRDefault="008D706C">
          <w:r>
            <w:t>2. durch unrichtige Angaben erschleicht.</w:t>
          </w:r>
        </w:p>
        <w:p w14:paraId="59DA7559" w14:textId="77777777" w:rsidR="00182552" w:rsidRDefault="008D706C">
          <w:pPr>
            <w:tabs>
              <w:tab w:val="left" w:pos="426"/>
            </w:tabs>
            <w:ind w:left="425" w:hanging="425"/>
          </w:pPr>
          <w:r>
            <w:t>(2)</w:t>
          </w:r>
          <w:r>
            <w:tab/>
          </w:r>
          <w:r>
            <w:rPr>
              <w:vertAlign w:val="superscript"/>
            </w:rPr>
            <w:t>1</w:t>
          </w:r>
          <w:r>
            <w:t xml:space="preserve">Wer eine der in Abs. 1 bezeichneten Handlungen gegen Entgelt oder in der Absicht, sich oder einen anderen zu bereichern oder einen anderen zu schädigen, begeht, wird mit Freiheitsstrafe bis zu zwei Jahren oder mit Geldstrafe bestraft. </w:t>
          </w:r>
          <w:r>
            <w:rPr>
              <w:vertAlign w:val="superscript"/>
            </w:rPr>
            <w:t>2</w:t>
          </w:r>
          <w:r>
            <w:t xml:space="preserve">Die Tat wird nur auf Antrag verfolgt. </w:t>
          </w:r>
          <w:r>
            <w:rPr>
              <w:vertAlign w:val="superscript"/>
            </w:rPr>
            <w:t>3</w:t>
          </w:r>
          <w:r>
            <w:t>Antragsberechtigt sind die betroffene Person, der Verantwortliche, der Auftragsverarbeiter und die Aufsichtsbehörde.</w:t>
          </w:r>
        </w:p>
        <w:p w14:paraId="2CD4B179" w14:textId="77777777" w:rsidR="00182552" w:rsidRDefault="008D706C">
          <w:pPr>
            <w:tabs>
              <w:tab w:val="left" w:pos="426"/>
            </w:tabs>
            <w:ind w:left="425" w:hanging="425"/>
          </w:pPr>
          <w:r>
            <w:t>(4)</w:t>
          </w:r>
          <w:r>
            <w:tab/>
            <w:t>Eine Unterrichtung nach Art. 33 oder Art. 34 DSGVO darf in einem Straf- oder Ordnungswidrigkeitenverfahren gegen den Verantwortlichen oder einen seiner in § 52 Abs. 1 StPO bezeichneten Angehörigen nur mit seiner Zustimmung verwendet werden.</w:t>
          </w:r>
        </w:p>
        <w:p w14:paraId="76A93623" w14:textId="77777777" w:rsidR="00182552" w:rsidRDefault="008D706C">
          <w:pPr>
            <w:pStyle w:val="Titel"/>
          </w:pPr>
          <w:r>
            <w:t>Sozialgesetzbücher</w:t>
          </w:r>
        </w:p>
        <w:p w14:paraId="548ECBFC" w14:textId="77777777" w:rsidR="00182552" w:rsidRDefault="008D706C">
          <w:pPr>
            <w:pStyle w:val="berschrift1"/>
          </w:pPr>
          <w:r>
            <w:t>§ 35 SGB I Sozialgeheimnis</w:t>
          </w:r>
        </w:p>
        <w:p w14:paraId="05345259" w14:textId="77777777" w:rsidR="00182552" w:rsidRDefault="008D706C">
          <w:pPr>
            <w:tabs>
              <w:tab w:val="left" w:pos="426"/>
            </w:tabs>
            <w:ind w:left="425" w:hanging="425"/>
          </w:pPr>
          <w:r>
            <w:t>(1)</w:t>
          </w:r>
          <w:r>
            <w:tab/>
            <w:t>Jeder hat Anspruch darauf, dass die ihn betreffenden Sozialdaten (§ 67 Absatz 2 Zehntes Buch) von den Leistungsträgern nicht unbefugt verarbeitet werden (Sozialgeheimnis). Die Wahrung des Sozialgeheimnisses umfasst die Verpflichtung, auch innerhalb des Leistungsträgers sicherzustellen, dass die Sozialdaten nur Befugten zugänglich sind oder nur an diese weitergegeben werden. Sozialdaten der Beschäftigten und ihrer Angehörigen dürfen Personen, die Personalentscheidungen treffen oder daran mitwirken können, weder zugänglich sein noch von Zugriffsberechtigten weitergegeben werden. Der Anspruch richtet sich auch gegen […] die in diesem Gesetzbuch genannten öffentlich-rechtlichen Vereinigungen [...].</w:t>
          </w:r>
        </w:p>
        <w:p w14:paraId="4347E4F7" w14:textId="77777777" w:rsidR="00182552" w:rsidRDefault="008D706C">
          <w:pPr>
            <w:tabs>
              <w:tab w:val="left" w:pos="426"/>
            </w:tabs>
            <w:ind w:left="425" w:hanging="425"/>
          </w:pPr>
          <w:r>
            <w:t>(2a)</w:t>
          </w:r>
          <w:r>
            <w:tab/>
            <w:t>Die Verpflichtung zur Wahrung gesetzlicher Geheimhaltungspflichten oder von Berufs- oder besonderen Amtsgeheimnissen, die nicht auf gesetzlichen Vorschriften beruhen, bleibt unberührt.</w:t>
          </w:r>
        </w:p>
        <w:p w14:paraId="3827C042" w14:textId="77777777" w:rsidR="00182552" w:rsidRDefault="008D706C">
          <w:pPr>
            <w:tabs>
              <w:tab w:val="left" w:pos="426"/>
            </w:tabs>
            <w:ind w:left="425" w:hanging="425"/>
          </w:pPr>
          <w:r>
            <w:t>(4)</w:t>
          </w:r>
          <w:r>
            <w:tab/>
            <w:t>Betriebs- und Geschäftsgeheimnisse stehen Sozialdaten gleich.</w:t>
          </w:r>
        </w:p>
        <w:p w14:paraId="6807665C" w14:textId="77777777" w:rsidR="00182552" w:rsidRDefault="008D706C">
          <w:pPr>
            <w:tabs>
              <w:tab w:val="left" w:pos="426"/>
            </w:tabs>
            <w:ind w:left="425" w:hanging="425"/>
          </w:pPr>
          <w:r>
            <w:t>(5)</w:t>
          </w:r>
          <w:r>
            <w:tab/>
            <w:t>Sozialdaten Verstorbener dürfen nach Maßgabe des Zweiten Kapitels des Zehnten Buches verarbeitet werden. Sie dürfen außerdem verarbeitet werden, wenn schutzwürdige Interessen des Verstorbenen oder seiner Angehörigen dadurch nicht beeinträchtigt werden können.</w:t>
          </w:r>
        </w:p>
        <w:p w14:paraId="7EEED513" w14:textId="77777777" w:rsidR="00182552" w:rsidRDefault="008D706C">
          <w:pPr>
            <w:pStyle w:val="berschrift1"/>
          </w:pPr>
          <w:r>
            <w:t>§ 67 SGB X Begriffsbestimmungen</w:t>
          </w:r>
        </w:p>
        <w:p w14:paraId="2B712B32" w14:textId="77777777" w:rsidR="00182552" w:rsidRDefault="008D706C">
          <w:pPr>
            <w:tabs>
              <w:tab w:val="left" w:pos="426"/>
            </w:tabs>
            <w:ind w:left="425" w:hanging="425"/>
          </w:pPr>
          <w:r>
            <w:t>(1)</w:t>
          </w:r>
          <w:r>
            <w:tab/>
            <w:t>Die nachfolgenden Begriffsbestimmungen gelten ergänzend zu Artikel 4 der Verordnung (EU) 679/2016 des Europäischen Parlaments und des Rates vom 27. April 2016 zum Schutz natürlicher Personen bei der Verarbeitung personenbezogener Daten, zum freien Datenverkehr und zur Aufhebung der Richtlinie 95/46/EG (Daten-schutz-Grundverordnung) […] in der jeweils geltenden Fassung.</w:t>
          </w:r>
        </w:p>
        <w:p w14:paraId="2F92E938" w14:textId="77777777" w:rsidR="00182552" w:rsidRDefault="008D706C">
          <w:pPr>
            <w:tabs>
              <w:tab w:val="left" w:pos="426"/>
            </w:tabs>
            <w:ind w:left="425" w:hanging="425"/>
          </w:pPr>
          <w:r>
            <w:t>(2)</w:t>
          </w:r>
          <w:r>
            <w:tab/>
            <w:t>Sozialdaten sind personenbezogene Daten (Artikel 4 Nummer 1 der Verordnung (EU) 679/2016), die von einer in § 35 des Ersten Buches genannten Stelle im Hin-blick auf ihre Aufgaben nach diesem Gesetzbuch verarbeitet werden. Betriebs- und Geschäftsgeheimnisse sind alle betriebs- oder geschäftsbezogenen Daten, auch von juristischen Personen, die Geheimnischarakter haben.</w:t>
          </w:r>
        </w:p>
        <w:p w14:paraId="3209CAD5" w14:textId="77777777" w:rsidR="00182552" w:rsidRDefault="008D706C">
          <w:pPr>
            <w:pStyle w:val="berschrift1"/>
          </w:pPr>
          <w:r>
            <w:t>§ 78 SGB X Zweckbindung und Geheimhaltungspflicht eines Dritten,</w:t>
          </w:r>
          <w:r>
            <w:br/>
            <w:t>an den Daten übermittelt werden.</w:t>
          </w:r>
        </w:p>
        <w:p w14:paraId="3CB71DC7" w14:textId="77777777" w:rsidR="00182552" w:rsidRDefault="008D706C">
          <w:pPr>
            <w:tabs>
              <w:tab w:val="left" w:pos="426"/>
            </w:tabs>
            <w:ind w:left="425" w:hanging="425"/>
          </w:pPr>
          <w:r>
            <w:t>(1)</w:t>
          </w:r>
          <w:r>
            <w:tab/>
            <w:t>Personen oder Stellen, die nicht in § 35 des Ersten Buches genannt und denen Sozialdaten übermittelt worden sind, dürfen diese nur zu dem Zweck speichern, verändern, nutzen, übermitteln, in der Verarbeitung einschränken oder löschen, zu dem sie ihnen befugt übermittelt worden sind. Eine Übermittlung von Sozialdaten […] an eine nicht-öffentliche Stelle ist nur zulässig, wenn diese sich gegenüber der übermittelnden Stelle verpflichtet hat, die Daten nur für den Zweck zu verarbeiten, zu dem sie ihr übermittelt werden. Die Dritten haben die Daten in demselben Umfang geheim zu halten wie die in § 35 des Ersten Buches genannten Stellen. […]</w:t>
          </w:r>
        </w:p>
        <w:p w14:paraId="57FE314F" w14:textId="77777777" w:rsidR="00182552" w:rsidRDefault="008D706C">
          <w:pPr>
            <w:tabs>
              <w:tab w:val="left" w:pos="426"/>
            </w:tabs>
            <w:ind w:left="425" w:hanging="425"/>
          </w:pPr>
          <w:r>
            <w:t>(2)</w:t>
          </w:r>
          <w:r>
            <w:tab/>
            <w:t>Werden Daten an eine nicht-öffentliche Stelle übermittelt, so sind die dort beschäftigten Personen, welche diese Daten speichern, verändern, nutzen, übermitteln, in der Verarbeitung einschränken oder löschen, von dieser Stelle vor, spätestens bei der Übermittlung auf die Einhaltung der Pflichten nach Absatz 1 hinzuweisen.</w:t>
          </w:r>
        </w:p>
        <w:p w14:paraId="4DB6919E" w14:textId="77777777" w:rsidR="00182552" w:rsidRDefault="008D706C">
          <w:pPr>
            <w:pStyle w:val="berschrift1"/>
          </w:pPr>
          <w:r>
            <w:t>§ 85 SGB X Strafvorschriften</w:t>
          </w:r>
        </w:p>
        <w:p w14:paraId="6FFD4625" w14:textId="77777777" w:rsidR="00182552" w:rsidRDefault="008D706C">
          <w:pPr>
            <w:tabs>
              <w:tab w:val="left" w:pos="426"/>
            </w:tabs>
            <w:ind w:left="425" w:hanging="425"/>
          </w:pPr>
          <w:r>
            <w:t>(1)</w:t>
          </w:r>
          <w:r>
            <w:tab/>
            <w:t>Für Sozialdaten gelten die Strafvorschriften des § 42 Absatz 1 und 2 des Bundesdatenschutzgesetzes entsprechend.</w:t>
          </w:r>
        </w:p>
        <w:p w14:paraId="6278DAEC" w14:textId="77777777" w:rsidR="00182552" w:rsidRDefault="008D706C">
          <w:pPr>
            <w:pStyle w:val="berschrift1"/>
          </w:pPr>
          <w:r>
            <w:t>§ 85a SGB X Bußgeldvorschriften</w:t>
          </w:r>
        </w:p>
        <w:p w14:paraId="517375B6" w14:textId="4D4C78CC" w:rsidR="00182552" w:rsidRDefault="008D706C">
          <w:pPr>
            <w:tabs>
              <w:tab w:val="left" w:pos="426"/>
            </w:tabs>
            <w:ind w:left="425" w:hanging="425"/>
          </w:pPr>
          <w:r>
            <w:t>(1)Für Sozialdaten gilt § 41 des Bundesdatenschutzgesetzes entsprechend.</w:t>
          </w:r>
        </w:p>
      </w:sdtContent>
    </w:sdt>
    <w:sectPr w:rsidR="00182552">
      <w:headerReference w:type="default" r:id="rId9"/>
      <w:footerReference w:type="default" r:id="rId10"/>
      <w:headerReference w:type="first" r:id="rId11"/>
      <w:footerReference w:type="first" r:id="rId12"/>
      <w:pgSz w:w="11906" w:h="16838" w:code="9"/>
      <w:pgMar w:top="2268" w:right="567" w:bottom="992" w:left="1304" w:header="493"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25A01" w14:textId="77777777" w:rsidR="005F5A73" w:rsidRDefault="005F5A73">
      <w:pPr>
        <w:spacing w:after="0" w:line="240" w:lineRule="auto"/>
      </w:pPr>
      <w:r>
        <w:separator/>
      </w:r>
    </w:p>
    <w:p w14:paraId="2393C443" w14:textId="77777777" w:rsidR="005F5A73" w:rsidRDefault="005F5A73"/>
  </w:endnote>
  <w:endnote w:type="continuationSeparator" w:id="0">
    <w:p w14:paraId="18718B5B" w14:textId="77777777" w:rsidR="005F5A73" w:rsidRDefault="005F5A73">
      <w:pPr>
        <w:spacing w:after="0" w:line="240" w:lineRule="auto"/>
      </w:pPr>
      <w:r>
        <w:continuationSeparator/>
      </w:r>
    </w:p>
    <w:p w14:paraId="56FBD7A2" w14:textId="77777777" w:rsidR="005F5A73" w:rsidRDefault="005F5A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22BFA8CE" w14:textId="77777777">
      <w:trPr>
        <w:trHeight w:val="227"/>
      </w:trPr>
      <w:tc>
        <w:tcPr>
          <w:tcW w:w="8080" w:type="dxa"/>
        </w:tcPr>
        <w:p w14:paraId="2BF2F577"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212F59E" w14:textId="77777777">
      <w:tc>
        <w:tcPr>
          <w:tcW w:w="8080" w:type="dxa"/>
        </w:tcPr>
        <w:p w14:paraId="2DBBA0C2" w14:textId="77777777" w:rsidR="00182552" w:rsidRDefault="008D706C">
          <w:pPr>
            <w:pStyle w:val="Fuzeile"/>
            <w:rPr>
              <w:szCs w:val="20"/>
            </w:rPr>
          </w:pPr>
          <w:r>
            <w:rPr>
              <w:szCs w:val="20"/>
            </w:rPr>
            <w:t>Informationen nach Art. 13 und 14 DSGVO finden Sie unter www.kvb.de/datenschutz.</w:t>
          </w:r>
        </w:p>
      </w:tc>
    </w:tr>
  </w:tbl>
  <w:p w14:paraId="7C655848" w14:textId="77777777" w:rsidR="00182552" w:rsidRDefault="00182552">
    <w:pPr>
      <w:pStyle w:val="BFFMTabellenabstan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tblGrid>
    <w:tr w:rsidR="00182552" w14:paraId="34CF3DD6" w14:textId="77777777">
      <w:trPr>
        <w:trHeight w:val="227"/>
      </w:trPr>
      <w:tc>
        <w:tcPr>
          <w:tcW w:w="8080" w:type="dxa"/>
        </w:tcPr>
        <w:p w14:paraId="319B7B20" w14:textId="77777777" w:rsidR="00182552" w:rsidRDefault="008D706C">
          <w:pPr>
            <w:pStyle w:val="Fuzeile"/>
            <w:rPr>
              <w:szCs w:val="20"/>
            </w:rPr>
          </w:pPr>
          <w:r>
            <w:rPr>
              <w:szCs w:val="20"/>
            </w:rPr>
            <w:t xml:space="preserve">Kassenärztliche Vereinigung Bayerns </w:t>
          </w:r>
          <w:r>
            <w:rPr>
              <w:rStyle w:val="Fett"/>
              <w:szCs w:val="20"/>
            </w:rPr>
            <w:t xml:space="preserve">▪ </w:t>
          </w:r>
          <w:r>
            <w:rPr>
              <w:szCs w:val="20"/>
            </w:rPr>
            <w:t xml:space="preserve">Körperschaft des öffentlichen Rechts </w:t>
          </w:r>
          <w:r>
            <w:rPr>
              <w:rStyle w:val="Fett"/>
              <w:szCs w:val="20"/>
            </w:rPr>
            <w:t>▪ kvb.de</w:t>
          </w:r>
        </w:p>
      </w:tc>
    </w:tr>
    <w:tr w:rsidR="00182552" w14:paraId="1EB1CE54" w14:textId="77777777">
      <w:trPr>
        <w:trHeight w:val="227"/>
      </w:trPr>
      <w:tc>
        <w:tcPr>
          <w:tcW w:w="8080" w:type="dxa"/>
        </w:tcPr>
        <w:p w14:paraId="0D8411F6" w14:textId="77777777" w:rsidR="00182552" w:rsidRDefault="008D706C">
          <w:pPr>
            <w:pStyle w:val="Fuzeile"/>
          </w:pPr>
          <w:proofErr w:type="spellStart"/>
          <w:r>
            <w:t>Elsenheimerstraße</w:t>
          </w:r>
          <w:proofErr w:type="spellEnd"/>
          <w:r>
            <w:t xml:space="preserve"> 39 </w:t>
          </w:r>
          <w:r>
            <w:rPr>
              <w:rStyle w:val="Fett"/>
            </w:rPr>
            <w:t>▪</w:t>
          </w:r>
          <w:r>
            <w:t xml:space="preserve"> 80687 München</w:t>
          </w:r>
        </w:p>
      </w:tc>
    </w:tr>
    <w:tr w:rsidR="00182552" w14:paraId="4936136A" w14:textId="77777777">
      <w:tc>
        <w:tcPr>
          <w:tcW w:w="8080" w:type="dxa"/>
        </w:tcPr>
        <w:p w14:paraId="26453CB1" w14:textId="77777777" w:rsidR="00182552" w:rsidRDefault="008D706C">
          <w:pPr>
            <w:pStyle w:val="Fuzeile"/>
            <w:rPr>
              <w:szCs w:val="20"/>
            </w:rPr>
          </w:pPr>
          <w:r>
            <w:rPr>
              <w:szCs w:val="20"/>
            </w:rPr>
            <w:t>Informationen nach Art. 13 und 14 DSGVO finden Sie unter www.kvb.de/datenschutz.</w:t>
          </w:r>
        </w:p>
      </w:tc>
    </w:tr>
  </w:tbl>
  <w:p w14:paraId="3A939D6E" w14:textId="77777777" w:rsidR="00182552" w:rsidRDefault="00182552">
    <w:pPr>
      <w:pStyle w:val="BFFMTabellenabstan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3757B" w14:textId="77777777" w:rsidR="005F5A73" w:rsidRDefault="005F5A73">
      <w:pPr>
        <w:spacing w:after="0" w:line="240" w:lineRule="auto"/>
      </w:pPr>
      <w:r>
        <w:separator/>
      </w:r>
    </w:p>
    <w:p w14:paraId="49FEC0C1" w14:textId="77777777" w:rsidR="005F5A73" w:rsidRDefault="005F5A73"/>
  </w:footnote>
  <w:footnote w:type="continuationSeparator" w:id="0">
    <w:p w14:paraId="1C744FE1" w14:textId="77777777" w:rsidR="005F5A73" w:rsidRDefault="005F5A73">
      <w:pPr>
        <w:spacing w:after="0" w:line="240" w:lineRule="auto"/>
      </w:pPr>
      <w:r>
        <w:continuationSeparator/>
      </w:r>
    </w:p>
    <w:p w14:paraId="3529337F" w14:textId="77777777" w:rsidR="005F5A73" w:rsidRDefault="005F5A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AB068" w14:textId="5C2987AA" w:rsidR="00182552" w:rsidRDefault="00AE3A30">
    <w:pPr>
      <w:pStyle w:val="Kopfzeile"/>
    </w:pPr>
    <w:r>
      <w:rPr>
        <w:noProof/>
      </w:rPr>
      <mc:AlternateContent>
        <mc:Choice Requires="wps">
          <w:drawing>
            <wp:anchor distT="0" distB="0" distL="114300" distR="114300" simplePos="0" relativeHeight="251672576" behindDoc="0" locked="1" layoutInCell="1" allowOverlap="0" wp14:anchorId="4046769D" wp14:editId="6A412BC4">
              <wp:simplePos x="0" y="0"/>
              <wp:positionH relativeFrom="margin">
                <wp:align>left</wp:align>
              </wp:positionH>
              <wp:positionV relativeFrom="topMargin">
                <wp:posOffset>184150</wp:posOffset>
              </wp:positionV>
              <wp:extent cx="3095625" cy="108000"/>
              <wp:effectExtent l="0" t="0" r="9525" b="6350"/>
              <wp:wrapSquare wrapText="bothSides"/>
              <wp:docPr id="1978134729" name="Textfeld 3"/>
              <wp:cNvGraphicFramePr/>
              <a:graphic xmlns:a="http://schemas.openxmlformats.org/drawingml/2006/main">
                <a:graphicData uri="http://schemas.microsoft.com/office/word/2010/wordprocessingShape">
                  <wps:wsp>
                    <wps:cNvSpPr txBox="1"/>
                    <wps:spPr>
                      <a:xfrm>
                        <a:off x="0" y="0"/>
                        <a:ext cx="3095625" cy="108000"/>
                      </a:xfrm>
                      <a:prstGeom prst="rect">
                        <a:avLst/>
                      </a:prstGeom>
                      <a:noFill/>
                      <a:ln w="6350">
                        <a:noFill/>
                      </a:ln>
                    </wps:spPr>
                    <wps:txbx>
                      <w:txbxContent>
                        <w:p w14:paraId="2B2C4395" w14:textId="0E22B3A0" w:rsidR="00AE3A30" w:rsidRDefault="00C76CEE">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46769D" id="_x0000_t202" coordsize="21600,21600" o:spt="202" path="m,l,21600r21600,l21600,xe">
              <v:stroke joinstyle="miter"/>
              <v:path gradientshapeok="t" o:connecttype="rect"/>
            </v:shapetype>
            <v:shape id="_x0000_s1027" type="#_x0000_t202" style="position:absolute;margin-left:0;margin-top:14.5pt;width:243.75pt;height:8.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71nDQIAABwEAAAOAAAAZHJzL2Uyb0RvYy54bWysU11r2zAUfR/sPwi9L3ZSEjoTp2QtGYPQ&#10;FtLRZ0WWYoOsq10psbtfvys5Tka3p7EX+Vr3+5yj5V3fGnZS6BuwJZ9Ocs6UlVA19lDy7y+bT7ec&#10;+SBsJQxYVfI35fnd6uOHZecKNYMaTKWQURHri86VvA7BFVnmZa1a4SfglCWnBmxFoF88ZBWKjqq3&#10;Jpvl+SLrACuHIJX3dPswOPkq1ddayfCktVeBmZLTbCGdmM59PLPVUhQHFK5u5HkM8Q9TtKKx1PRS&#10;6kEEwY7Y/FGqbSSCBx0mEtoMtG6kSjvQNtP83Ta7WjiVdiFwvLvA5P9fWfl42rlnZKH/Aj0RGAHp&#10;nC88XcZ9eo1t/NKkjPwE4dsFNtUHJunyJv88X8zmnEnyTfPbPE+4Ztdshz58VdCyaJQciZaEljht&#10;faCOFDqGxGYWNo0xiRpjWVfyxc08TwkXD2UYS4nXWaMV+n1/XmAP1RvthTBQ7p3cNNR8K3x4Fkgc&#10;0yqk2/BEhzZATeBscVYD/vzbfYwn6MnLWUeaKbn/cRSoODPfLJESBTYaOBr70bDH9h5IhlN6EU4m&#10;kxIwmNHUCO0ryXkdu5BLWEm9Sh5G8z4MyqXnINV6nYJIRk6Erd05GUtH+CKUL/2rQHfGOxBTjzCq&#10;SRTvYB9iB+DXxwC6SZxEQAcUzziTBBNV5+cSNf77f4q6PurVLwAAAP//AwBQSwMEFAAGAAgAAAAh&#10;AA8VHXHdAAAABgEAAA8AAABkcnMvZG93bnJldi54bWxMj81OwzAQhO9IvIO1SNyo3QpKCXEqxM8N&#10;Cm1BgpsTL0lEvI5sJw1vz3KC085qVjPf5uvJdWLEEFtPGuYzBQKp8ralWsPr/uFsBSImQ9Z0nlDD&#10;N0ZYF8dHucmsP9AWx12qBYdQzIyGJqU+kzJWDToTZ75HYu/TB2cSr6GWNpgDh7tOLpRaSmda4obG&#10;9HjbYPW1G5yG7j2Gx1Klj/Gufkovz3J4u59vtD49mW6uQSSc0t8x/OIzOhTMVPqBbBSdBn4kaVhc&#10;8WT3fHV5AaJksVQgi1z+xy9+AAAA//8DAFBLAQItABQABgAIAAAAIQC2gziS/gAAAOEBAAATAAAA&#10;AAAAAAAAAAAAAAAAAABbQ29udGVudF9UeXBlc10ueG1sUEsBAi0AFAAGAAgAAAAhADj9If/WAAAA&#10;lAEAAAsAAAAAAAAAAAAAAAAALwEAAF9yZWxzLy5yZWxzUEsBAi0AFAAGAAgAAAAhAA4bvWcNAgAA&#10;HAQAAA4AAAAAAAAAAAAAAAAALgIAAGRycy9lMm9Eb2MueG1sUEsBAi0AFAAGAAgAAAAhAA8VHXHd&#10;AAAABgEAAA8AAAAAAAAAAAAAAAAAZwQAAGRycy9kb3ducmV2LnhtbFBLBQYAAAAABAAEAPMAAABx&#10;BQAAAAA=&#10;" o:allowoverlap="f" filled="f" stroked="f" strokeweight=".5pt">
              <v:textbox inset="0,0,0,0">
                <w:txbxContent>
                  <w:p w14:paraId="2B2C4395" w14:textId="0E22B3A0" w:rsidR="00AE3A30" w:rsidRDefault="00ED3F73">
                    <w:pPr>
                      <w:pStyle w:val="BFFMVertraulichkeit"/>
                    </w:pPr>
                    <w:sdt>
                      <w:sdtPr>
                        <w:alias w:val="Vertraulichkeitsklasse"/>
                        <w:tag w:val="tagVertraulichkeitsklassen"/>
                        <w:id w:val="910120205"/>
                        <w:lock w:val="sdtLocked"/>
                        <w:dataBinding w:prefixMappings="" w:xpath="/root[1]/Vertraulichkeit[1]" w:storeItemID="{97A6B3CC-9190-4424-B6F8-737A09B8A18D}"/>
                        <w:dropDownList>
                          <w:listItem w:value="Wählen Sie ein Element aus."/>
                          <w:listItem w:displayText="streng vertraulich" w:value="streng vertraulich"/>
                          <w:listItem w:displayText="intern vertraulich" w:value="intern vertraulich"/>
                          <w:listItem w:displayText="intern" w:value="intern"/>
                          <w:listItem w:displayText="öffentlich" w:value="öffentlich"/>
                        </w:dropDownList>
                      </w:sdtPr>
                      <w:sdtEndPr/>
                      <w:sdtContent>
                        <w:r w:rsidR="00D71F74">
                          <w:t>intern vertraulich</w:t>
                        </w:r>
                      </w:sdtContent>
                    </w:sdt>
                  </w:p>
                </w:txbxContent>
              </v:textbox>
              <w10:wrap type="square" anchorx="margin" anchory="margin"/>
              <w10:anchorlock/>
            </v:shape>
          </w:pict>
        </mc:Fallback>
      </mc:AlternateContent>
    </w:r>
    <w:r w:rsidR="008D706C">
      <w:rPr>
        <w:noProof/>
        <w:lang w:eastAsia="de-DE"/>
      </w:rPr>
      <w:drawing>
        <wp:anchor distT="0" distB="0" distL="114300" distR="114300" simplePos="0" relativeHeight="251665408" behindDoc="0" locked="1" layoutInCell="1" allowOverlap="0" wp14:anchorId="4BEEE4CA" wp14:editId="0CB6C69D">
          <wp:simplePos x="0" y="0"/>
          <wp:positionH relativeFrom="page">
            <wp:posOffset>4633595</wp:posOffset>
          </wp:positionH>
          <wp:positionV relativeFrom="page">
            <wp:posOffset>313055</wp:posOffset>
          </wp:positionV>
          <wp:extent cx="1231200" cy="684000"/>
          <wp:effectExtent l="0" t="0" r="7620" b="1905"/>
          <wp:wrapSquare wrapText="bothSides"/>
          <wp:docPr id="4"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706C">
      <w:t xml:space="preserve">Seite </w:t>
    </w:r>
    <w:r w:rsidR="008D706C">
      <w:fldChar w:fldCharType="begin"/>
    </w:r>
    <w:r w:rsidR="008D706C">
      <w:instrText>PAGE  \* Arabic  \* MERGEFORMAT</w:instrText>
    </w:r>
    <w:r w:rsidR="008D706C">
      <w:fldChar w:fldCharType="separate"/>
    </w:r>
    <w:r w:rsidR="008D706C">
      <w:rPr>
        <w:noProof/>
      </w:rPr>
      <w:t>13</w:t>
    </w:r>
    <w:r w:rsidR="008D706C">
      <w:fldChar w:fldCharType="end"/>
    </w:r>
    <w:r w:rsidR="008D706C">
      <w:t xml:space="preserve"> von </w:t>
    </w:r>
    <w:fldSimple w:instr="NUMPAGES  \* Arabic  \* MERGEFORMAT">
      <w:r w:rsidR="008D706C">
        <w:rPr>
          <w:noProof/>
        </w:rPr>
        <w:t>13</w:t>
      </w:r>
    </w:fldSimple>
  </w:p>
  <w:p w14:paraId="74BE3FB3" w14:textId="77777777" w:rsidR="00182552" w:rsidRDefault="008D706C">
    <w:pPr>
      <w:pStyle w:val="Kopfzeile"/>
    </w:pPr>
    <w:r>
      <w:t>Verpflichtung zur Einhaltung der datenschutzrechtlichen Anforderungen</w:t>
    </w:r>
    <w:r>
      <w:br/>
      <w:t>sowie nach dem Verpflichtungsgesetz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D3E5" w14:textId="77777777" w:rsidR="00182552" w:rsidRDefault="008D706C">
    <w:pPr>
      <w:pStyle w:val="Kopfzeile"/>
    </w:pPr>
    <w:r>
      <w:rPr>
        <w:noProof/>
        <w:lang w:eastAsia="de-DE"/>
      </w:rPr>
      <mc:AlternateContent>
        <mc:Choice Requires="wpg">
          <w:drawing>
            <wp:anchor distT="0" distB="0" distL="114300" distR="114300" simplePos="0" relativeHeight="251670528" behindDoc="0" locked="1" layoutInCell="1" allowOverlap="0" wp14:anchorId="7B1EADC7" wp14:editId="62FDAD5E">
              <wp:simplePos x="0" y="0"/>
              <wp:positionH relativeFrom="page">
                <wp:posOffset>180340</wp:posOffset>
              </wp:positionH>
              <wp:positionV relativeFrom="page">
                <wp:posOffset>3780790</wp:posOffset>
              </wp:positionV>
              <wp:extent cx="216000" cy="1584000"/>
              <wp:effectExtent l="0" t="0" r="31750" b="16510"/>
              <wp:wrapNone/>
              <wp:docPr id="1" name="Gruppieren 1"/>
              <wp:cNvGraphicFramePr/>
              <a:graphic xmlns:a="http://schemas.openxmlformats.org/drawingml/2006/main">
                <a:graphicData uri="http://schemas.microsoft.com/office/word/2010/wordprocessingGroup">
                  <wpg:wgp>
                    <wpg:cNvGrpSpPr/>
                    <wpg:grpSpPr>
                      <a:xfrm>
                        <a:off x="0" y="0"/>
                        <a:ext cx="216000" cy="1584000"/>
                        <a:chOff x="0" y="0"/>
                        <a:chExt cx="216000" cy="1583266"/>
                      </a:xfrm>
                    </wpg:grpSpPr>
                    <wps:wsp>
                      <wps:cNvPr id="2" name="Gerader Verbinder 2"/>
                      <wps:cNvCnPr/>
                      <wps:spPr>
                        <a:xfrm>
                          <a:off x="0" y="0"/>
                          <a:ext cx="1080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Gerader Verbinder 3"/>
                      <wps:cNvCnPr/>
                      <wps:spPr>
                        <a:xfrm>
                          <a:off x="0" y="1583266"/>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Gruppieren 1" o:spid="_x0000_s1026" style="position:absolute;margin-left:14.2pt;margin-top:297.7pt;width:17pt;height:124.7pt;z-index:251670528;mso-position-horizontal-relative:page;mso-position-vertical-relative:page;mso-width-relative:margin;mso-height-relative:margin" coordsize="2160,15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gDTIAIAAAQHAAAOAAAAZHJzL2Uyb0RvYy54bWzslU2P0zAQhu9I/AfLd5qPQlVFTfewC70g&#10;WLELd9cZJ5biD9nepv33jJ02C7tFQNHeuDh2PDOeefzaXl3tVU924Lw0uqbFLKcENDeN1G1Nv95/&#10;eLOkxAemG9YbDTU9gKdX69evVoOtoDSd6RtwBINoXw22pl0ItsoyzztQzM+MBY2TwjjFAg5dmzWO&#10;DRhd9VmZ54tsMK6xznDwHv/ejJN0neILATx8FsJDIH1NMbeQWpfabWyz9YpVrWO2k/yYBrsgC8Wk&#10;xkWnUDcsMPLg5LNQSnJnvBFhxo3KjBCSQ6oBqynyJ9VsnHmwqZa2Glo7YUK0TzhdHJZ/2m2cvbO3&#10;DkkMtkUWaRRr2Qun4hezJPuE7DAhg30gHH+WxSLPESzHqeLd8m0cJKa8Q/DP3Hj3/rzjvFwsomN2&#10;Wjb7KZnBojz8IwH/bwTuOmYhgfUVErh1RDZYCyWaKRTpBhyLsvwGbit17JUxt5gEWl/rIyxfeeT2&#10;p6SKfDmRSoymUlllnQ8bMIrETk17qWN2rGK7jz6MVE4miCjmMa6ceuHQQzTu9RcQWAjuSpG80yGC&#10;696RHUP5M85Bh+JIOVlHNyH7fnLMf+94tI+ukA7Y3zhPHmllo8PkrKQ27tzqYX9KWYz2JwJj3RHB&#10;1jSHtCcJDepk3KsXF8z814KZXyAYPD+nY4Bsz5yT/7J5admkWwev2nQRHZ+FeJf/OE76e3y81t8B&#10;AAD//wMAUEsDBBQABgAIAAAAIQB2yAYj4AAAAAkBAAAPAAAAZHJzL2Rvd25yZXYueG1sTI/BaoNA&#10;EIbvhb7DMoXemlWrwVjXEELbUyg0KZTcJjpRibsr7kbN23d6ak8zw3z8802+nnUnRhpca42CcBGA&#10;IFPaqjW1gq/D21MKwnk0FXbWkIIbOVgX93c5ZpWdzCeNe18LDjEuQwWN930mpSsb0ugWtifDu7Md&#10;NHoeh1pWA04crjsZBcFSamwNX2iwp21D5WV/1QreJ5w2z+HruLuct7fjIfn43oWk1OPDvHkB4Wn2&#10;fzD86rM6FOx0sldTOdEpiNKYSQXJKuGGgWXE9aQgjeMUZJHL/x8UPwAAAP//AwBQSwECLQAUAAYA&#10;CAAAACEAtoM4kv4AAADhAQAAEwAAAAAAAAAAAAAAAAAAAAAAW0NvbnRlbnRfVHlwZXNdLnhtbFBL&#10;AQItABQABgAIAAAAIQA4/SH/1gAAAJQBAAALAAAAAAAAAAAAAAAAAC8BAABfcmVscy8ucmVsc1BL&#10;AQItABQABgAIAAAAIQB4LgDTIAIAAAQHAAAOAAAAAAAAAAAAAAAAAC4CAABkcnMvZTJvRG9jLnht&#10;bFBLAQItABQABgAIAAAAIQB2yAYj4AAAAAkBAAAPAAAAAAAAAAAAAAAAAHoEAABkcnMvZG93bnJl&#10;di54bWxQSwUGAAAAAAQABADzAAAAhwUAAAAA&#10;" o:allowoverlap="f">
              <v:line id="Gerader Verbinder 2" o:spid="_x0000_s1027" style="position:absolute;visibility:visible;mso-wrap-style:square" from="0,0" to="10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C5rwwAAANoAAAAPAAAAZHJzL2Rvd25yZXYueG1sRI9Ra8JA&#10;EITfhf6HYwu+6aUpikZPkUJBbF9q+wPW3JoEc3vp3VZjf71XKPg4zMw3zHLdu1adKcTGs4GncQaK&#10;uPS24crA1+fraAYqCrLF1jMZuFKE9ephsMTC+gt/0HkvlUoQjgUaqEW6QutY1uQwjn1HnLyjDw4l&#10;yVBpG/CS4K7VeZZNtcOG00KNHb3UVJ72P87A99v7Nl4PbS7Tye/uFDazuTxHY4aP/WYBSqiXe/i/&#10;vbUGcvi7km6AXt0AAAD//wMAUEsBAi0AFAAGAAgAAAAhANvh9svuAAAAhQEAABMAAAAAAAAAAAAA&#10;AAAAAAAAAFtDb250ZW50X1R5cGVzXS54bWxQSwECLQAUAAYACAAAACEAWvQsW78AAAAVAQAACwAA&#10;AAAAAAAAAAAAAAAfAQAAX3JlbHMvLnJlbHNQSwECLQAUAAYACAAAACEA5Iwua8MAAADaAAAADwAA&#10;AAAAAAAAAAAAAAAHAgAAZHJzL2Rvd25yZXYueG1sUEsFBgAAAAADAAMAtwAAAPcCAAAAAA==&#10;" strokecolor="#006bad [3044]"/>
              <v:line id="Gerader Verbinder 3" o:spid="_x0000_s1028" style="position:absolute;visibility:visible;mso-wrap-style:square" from="0,15832" to="2160,15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IvwwwAAANoAAAAPAAAAZHJzL2Rvd25yZXYueG1sRI9RawIx&#10;EITfhf6HsAXfNFdFsVejSKEg6ku1P2B72d4dXjbXZKunv94IBR+HmfmGmS8716gThVh7NvAyzEAR&#10;F97WXBr4OnwMZqCiIFtsPJOBC0VYLp56c8ytP/MnnfZSqgThmKOBSqTNtY5FRQ7j0LfEyfvxwaEk&#10;GUptA54T3DV6lGVT7bDmtFBhS+8VFcf9nzPwu92t4+W7Gcl0ct0cw2r2KuNoTP+5W72BEurkEf5v&#10;r62BMdyvpBugFzcAAAD//wMAUEsBAi0AFAAGAAgAAAAhANvh9svuAAAAhQEAABMAAAAAAAAAAAAA&#10;AAAAAAAAAFtDb250ZW50X1R5cGVzXS54bWxQSwECLQAUAAYACAAAACEAWvQsW78AAAAVAQAACwAA&#10;AAAAAAAAAAAAAAAfAQAAX3JlbHMvLnJlbHNQSwECLQAUAAYACAAAACEAi8CL8MMAAADaAAAADwAA&#10;AAAAAAAAAAAAAAAHAgAAZHJzL2Rvd25yZXYueG1sUEsFBgAAAAADAAMAtwAAAPcCAAAAAA==&#10;" strokecolor="#006bad [3044]"/>
              <w10:wrap anchorx="page" anchory="page"/>
              <w10:anchorlock/>
            </v:group>
          </w:pict>
        </mc:Fallback>
      </mc:AlternateContent>
    </w:r>
    <w:r>
      <w:rPr>
        <w:noProof/>
        <w:lang w:eastAsia="de-DE"/>
      </w:rPr>
      <w:drawing>
        <wp:anchor distT="0" distB="0" distL="114300" distR="114300" simplePos="0" relativeHeight="251663360" behindDoc="0" locked="1" layoutInCell="1" allowOverlap="0" wp14:anchorId="38F0D593" wp14:editId="0A3E4DDC">
          <wp:simplePos x="0" y="0"/>
          <wp:positionH relativeFrom="page">
            <wp:posOffset>4633595</wp:posOffset>
          </wp:positionH>
          <wp:positionV relativeFrom="page">
            <wp:posOffset>313055</wp:posOffset>
          </wp:positionV>
          <wp:extent cx="1231200" cy="684000"/>
          <wp:effectExtent l="0" t="0" r="7620" b="1905"/>
          <wp:wrapSquare wrapText="bothSides"/>
          <wp:docPr id="5" name="Bild 1" descr="Test_KVB_Signet_positiv_1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_KVB_Signet_positiv_1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1200" cy="684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8A0"/>
    <w:multiLevelType w:val="multilevel"/>
    <w:tmpl w:val="73064A34"/>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171C9C"/>
    <w:multiLevelType w:val="multilevel"/>
    <w:tmpl w:val="040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9164BC7"/>
    <w:multiLevelType w:val="multilevel"/>
    <w:tmpl w:val="CF7E9172"/>
    <w:styleLink w:val="KVBListe"/>
    <w:lvl w:ilvl="0">
      <w:start w:val="1"/>
      <w:numFmt w:val="upperRoman"/>
      <w:lvlText w:val="%1."/>
      <w:lvlJc w:val="left"/>
      <w:pPr>
        <w:ind w:left="340" w:hanging="340"/>
      </w:pPr>
      <w:rPr>
        <w:rFonts w:asciiTheme="majorHAnsi" w:hAnsiTheme="majorHAnsi" w:hint="default"/>
        <w:b/>
        <w:i w:val="0"/>
      </w:rPr>
    </w:lvl>
    <w:lvl w:ilvl="1">
      <w:start w:val="1"/>
      <w:numFmt w:val="lowerLetter"/>
      <w:lvlText w:val="%2."/>
      <w:lvlJc w:val="left"/>
      <w:pPr>
        <w:ind w:left="680" w:hanging="340"/>
      </w:pPr>
      <w:rPr>
        <w:rFonts w:hint="default"/>
      </w:rPr>
    </w:lvl>
    <w:lvl w:ilvl="2">
      <w:start w:val="1"/>
      <w:numFmt w:val="lowerRoman"/>
      <w:lvlText w:val="%3."/>
      <w:lvlJc w:val="righ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3" w15:restartNumberingAfterBreak="0">
    <w:nsid w:val="0FA905D0"/>
    <w:multiLevelType w:val="hybridMultilevel"/>
    <w:tmpl w:val="D85282CA"/>
    <w:lvl w:ilvl="0" w:tplc="1A7E959A">
      <w:start w:val="1"/>
      <w:numFmt w:val="decimal"/>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9F1FF2"/>
    <w:multiLevelType w:val="hybridMultilevel"/>
    <w:tmpl w:val="59625F3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lvlText w:val="n"/>
      <w:lvlJc w:val="left"/>
      <w:pPr>
        <w:ind w:left="1361" w:hanging="340"/>
      </w:pPr>
      <w:rPr>
        <w:rFonts w:ascii="Wingdings" w:hAnsi="Wingdings" w:hint="default"/>
        <w:color w:val="0072B7" w:themeColor="accent1"/>
      </w:rPr>
    </w:lvl>
    <w:lvl w:ilvl="4" w:tplc="C1601FFC">
      <w:start w:val="1"/>
      <w:numFmt w:val="bullet"/>
      <w:pStyle w:val="Aufzhlungszeichen5"/>
      <w:lvlText w:val="n"/>
      <w:lvlJc w:val="left"/>
      <w:pPr>
        <w:ind w:left="1701" w:hanging="340"/>
      </w:pPr>
      <w:rPr>
        <w:rFonts w:ascii="Wingdings" w:hAnsi="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D150F7"/>
    <w:multiLevelType w:val="multilevel"/>
    <w:tmpl w:val="5D5AD4B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340" w:hanging="34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D81621"/>
    <w:multiLevelType w:val="multilevel"/>
    <w:tmpl w:val="E6C833E2"/>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2CE65AD"/>
    <w:multiLevelType w:val="hybridMultilevel"/>
    <w:tmpl w:val="316C8CD4"/>
    <w:lvl w:ilvl="0" w:tplc="1F02D9CE">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8" w15:restartNumberingAfterBreak="0">
    <w:nsid w:val="332C6CF0"/>
    <w:multiLevelType w:val="hybridMultilevel"/>
    <w:tmpl w:val="F90025F6"/>
    <w:lvl w:ilvl="0" w:tplc="0A00E100">
      <w:start w:val="1"/>
      <w:numFmt w:val="bullet"/>
      <w:pStyle w:val="Aufzhlungszeichen"/>
      <w:lvlText w:val=""/>
      <w:lvlJc w:val="left"/>
      <w:pPr>
        <w:ind w:left="340" w:hanging="340"/>
      </w:pPr>
      <w:rPr>
        <w:rFonts w:ascii="Wingdings" w:hAnsi="Wingdings" w:cs="Wingdings" w:hint="default"/>
        <w:color w:val="0072B7" w:themeColor="accent1"/>
      </w:rPr>
    </w:lvl>
    <w:lvl w:ilvl="1" w:tplc="0BB22BB8">
      <w:start w:val="1"/>
      <w:numFmt w:val="bullet"/>
      <w:pStyle w:val="Aufzhlungszeichen2"/>
      <w:lvlText w:val="–"/>
      <w:lvlJc w:val="left"/>
      <w:pPr>
        <w:ind w:left="567" w:hanging="227"/>
      </w:pPr>
      <w:rPr>
        <w:rFonts w:ascii="Arial" w:hAnsi="Arial" w:hint="default"/>
      </w:rPr>
    </w:lvl>
    <w:lvl w:ilvl="2" w:tplc="AC6674EA">
      <w:start w:val="1"/>
      <w:numFmt w:val="bullet"/>
      <w:pStyle w:val="Aufzhlungszeichen3"/>
      <w:lvlText w:val="¡"/>
      <w:lvlJc w:val="left"/>
      <w:pPr>
        <w:ind w:left="1021" w:hanging="341"/>
      </w:pPr>
      <w:rPr>
        <w:rFonts w:ascii="Wingdings 2" w:hAnsi="Wingdings 2"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5F2CB7"/>
    <w:multiLevelType w:val="hybridMultilevel"/>
    <w:tmpl w:val="CF6A8DDE"/>
    <w:lvl w:ilvl="0" w:tplc="3328E564">
      <w:start w:val="1"/>
      <w:numFmt w:val="decimal"/>
      <w:lvlText w:val="%1."/>
      <w:lvlJc w:val="left"/>
      <w:pPr>
        <w:ind w:left="737" w:hanging="312"/>
      </w:pPr>
      <w:rPr>
        <w:rFonts w:hint="default"/>
      </w:rPr>
    </w:lvl>
    <w:lvl w:ilvl="1" w:tplc="04070019" w:tentative="1">
      <w:start w:val="1"/>
      <w:numFmt w:val="lowerLetter"/>
      <w:lvlText w:val="%2."/>
      <w:lvlJc w:val="left"/>
      <w:pPr>
        <w:ind w:left="1650" w:hanging="360"/>
      </w:pPr>
    </w:lvl>
    <w:lvl w:ilvl="2" w:tplc="0407001B" w:tentative="1">
      <w:start w:val="1"/>
      <w:numFmt w:val="lowerRoman"/>
      <w:lvlText w:val="%3."/>
      <w:lvlJc w:val="right"/>
      <w:pPr>
        <w:ind w:left="2370" w:hanging="180"/>
      </w:pPr>
    </w:lvl>
    <w:lvl w:ilvl="3" w:tplc="0407000F" w:tentative="1">
      <w:start w:val="1"/>
      <w:numFmt w:val="decimal"/>
      <w:lvlText w:val="%4."/>
      <w:lvlJc w:val="left"/>
      <w:pPr>
        <w:ind w:left="3090" w:hanging="360"/>
      </w:pPr>
    </w:lvl>
    <w:lvl w:ilvl="4" w:tplc="04070019" w:tentative="1">
      <w:start w:val="1"/>
      <w:numFmt w:val="lowerLetter"/>
      <w:lvlText w:val="%5."/>
      <w:lvlJc w:val="left"/>
      <w:pPr>
        <w:ind w:left="3810" w:hanging="360"/>
      </w:pPr>
    </w:lvl>
    <w:lvl w:ilvl="5" w:tplc="0407001B" w:tentative="1">
      <w:start w:val="1"/>
      <w:numFmt w:val="lowerRoman"/>
      <w:lvlText w:val="%6."/>
      <w:lvlJc w:val="right"/>
      <w:pPr>
        <w:ind w:left="4530" w:hanging="180"/>
      </w:pPr>
    </w:lvl>
    <w:lvl w:ilvl="6" w:tplc="0407000F" w:tentative="1">
      <w:start w:val="1"/>
      <w:numFmt w:val="decimal"/>
      <w:lvlText w:val="%7."/>
      <w:lvlJc w:val="left"/>
      <w:pPr>
        <w:ind w:left="5250" w:hanging="360"/>
      </w:pPr>
    </w:lvl>
    <w:lvl w:ilvl="7" w:tplc="04070019" w:tentative="1">
      <w:start w:val="1"/>
      <w:numFmt w:val="lowerLetter"/>
      <w:lvlText w:val="%8."/>
      <w:lvlJc w:val="left"/>
      <w:pPr>
        <w:ind w:left="5970" w:hanging="360"/>
      </w:pPr>
    </w:lvl>
    <w:lvl w:ilvl="8" w:tplc="0407001B" w:tentative="1">
      <w:start w:val="1"/>
      <w:numFmt w:val="lowerRoman"/>
      <w:lvlText w:val="%9."/>
      <w:lvlJc w:val="right"/>
      <w:pPr>
        <w:ind w:left="6690" w:hanging="180"/>
      </w:pPr>
    </w:lvl>
  </w:abstractNum>
  <w:abstractNum w:abstractNumId="10" w15:restartNumberingAfterBreak="0">
    <w:nsid w:val="3EE7699E"/>
    <w:multiLevelType w:val="hybridMultilevel"/>
    <w:tmpl w:val="30A6AB4E"/>
    <w:lvl w:ilvl="0" w:tplc="5EFEA6EC">
      <w:start w:val="1"/>
      <w:numFmt w:val="lowerLetter"/>
      <w:lvlText w:val="%1)"/>
      <w:lvlJc w:val="left"/>
      <w:pPr>
        <w:ind w:left="1134" w:hanging="397"/>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abstractNum w:abstractNumId="11" w15:restartNumberingAfterBreak="0">
    <w:nsid w:val="3FB53668"/>
    <w:multiLevelType w:val="multilevel"/>
    <w:tmpl w:val="368AB4E0"/>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4B0E2581"/>
    <w:multiLevelType w:val="multilevel"/>
    <w:tmpl w:val="03289354"/>
    <w:lvl w:ilvl="0">
      <w:start w:val="1"/>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4BA4115C"/>
    <w:multiLevelType w:val="hybridMultilevel"/>
    <w:tmpl w:val="B1908110"/>
    <w:lvl w:ilvl="0" w:tplc="6AB40EF2">
      <w:start w:val="1"/>
      <w:numFmt w:val="lowerLetter"/>
      <w:lvlText w:val="%1."/>
      <w:lvlJc w:val="left"/>
      <w:pPr>
        <w:ind w:left="737" w:hanging="31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C1760CA"/>
    <w:multiLevelType w:val="hybridMultilevel"/>
    <w:tmpl w:val="FBB01BC4"/>
    <w:lvl w:ilvl="0" w:tplc="0C020AAA">
      <w:start w:val="1"/>
      <w:numFmt w:val="bullet"/>
      <w:lvlText w:val=""/>
      <w:lvlJc w:val="left"/>
      <w:pPr>
        <w:ind w:left="340" w:hanging="340"/>
      </w:pPr>
      <w:rPr>
        <w:rFonts w:ascii="Wingdings" w:hAnsi="Wingdings" w:cs="Wingdings" w:hint="default"/>
        <w:color w:val="0072B7" w:themeColor="accent1"/>
      </w:rPr>
    </w:lvl>
    <w:lvl w:ilvl="1" w:tplc="E40412AE">
      <w:start w:val="1"/>
      <w:numFmt w:val="bullet"/>
      <w:lvlText w:val="n"/>
      <w:lvlJc w:val="left"/>
      <w:pPr>
        <w:ind w:left="1440" w:hanging="360"/>
      </w:pPr>
      <w:rPr>
        <w:rFonts w:ascii="Wingdings" w:hAnsi="Wingdings" w:hint="default"/>
      </w:rPr>
    </w:lvl>
    <w:lvl w:ilvl="2" w:tplc="00F636DA">
      <w:numFmt w:val="bullet"/>
      <w:lvlText w:val="–"/>
      <w:lvlJc w:val="left"/>
      <w:pPr>
        <w:ind w:left="2160" w:hanging="360"/>
      </w:pPr>
      <w:rPr>
        <w:rFonts w:ascii="Arial" w:eastAsiaTheme="minorHAnsi" w:hAnsi="Arial" w:hint="default"/>
      </w:rPr>
    </w:lvl>
    <w:lvl w:ilvl="3" w:tplc="C41AA860">
      <w:start w:val="1"/>
      <w:numFmt w:val="bullet"/>
      <w:pStyle w:val="Aufzhlungszeichen4"/>
      <w:lvlText w:val="n"/>
      <w:lvlJc w:val="left"/>
      <w:pPr>
        <w:ind w:left="1361" w:hanging="340"/>
      </w:pPr>
      <w:rPr>
        <w:rFonts w:ascii="Wingdings" w:hAnsi="Wingdings" w:hint="default"/>
        <w:color w:val="0072B7" w:themeColor="accent1"/>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652E11"/>
    <w:multiLevelType w:val="hybridMultilevel"/>
    <w:tmpl w:val="89A884DE"/>
    <w:lvl w:ilvl="0" w:tplc="43BAAFBE">
      <w:start w:val="1"/>
      <w:numFmt w:val="bullet"/>
      <w:pStyle w:val="Aufgezaehlt1"/>
      <w:lvlText w:val=""/>
      <w:lvlJc w:val="left"/>
      <w:pPr>
        <w:ind w:left="340" w:hanging="340"/>
      </w:pPr>
      <w:rPr>
        <w:rFonts w:ascii="Wingdings" w:hAnsi="Wingdings" w:cs="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1A1231"/>
    <w:multiLevelType w:val="hybridMultilevel"/>
    <w:tmpl w:val="E640B64A"/>
    <w:lvl w:ilvl="0" w:tplc="8AE29D90">
      <w:start w:val="1"/>
      <w:numFmt w:val="bullet"/>
      <w:lvlText w:val=""/>
      <w:lvlJc w:val="left"/>
      <w:pPr>
        <w:ind w:left="360" w:hanging="360"/>
      </w:pPr>
      <w:rPr>
        <w:rFonts w:ascii="Wingdings" w:hAnsi="Wingdings" w:hint="default"/>
        <w:color w:val="0072B7"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DFE6FE2"/>
    <w:multiLevelType w:val="multilevel"/>
    <w:tmpl w:val="44E206D8"/>
    <w:lvl w:ilvl="0">
      <w:start w:val="4"/>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E713902"/>
    <w:multiLevelType w:val="multilevel"/>
    <w:tmpl w:val="A482BCEC"/>
    <w:lvl w:ilvl="0">
      <w:start w:val="2"/>
      <w:numFmt w:val="decimal"/>
      <w:suff w:val="space"/>
      <w:lvlText w:val="(%1)"/>
      <w:lvlJc w:val="left"/>
      <w:pPr>
        <w:ind w:left="0" w:firstLine="0"/>
      </w:pPr>
      <w:rPr>
        <w:rFonts w:hint="default"/>
      </w:rPr>
    </w:lvl>
    <w:lvl w:ilvl="1">
      <w:start w:val="1"/>
      <w:numFmt w:val="decimal"/>
      <w:suff w:val="space"/>
      <w:lvlText w:val="%2."/>
      <w:lvlJc w:val="left"/>
      <w:pPr>
        <w:ind w:left="0" w:firstLine="0"/>
      </w:pPr>
      <w:rPr>
        <w:rFonts w:hint="default"/>
      </w:rPr>
    </w:lvl>
    <w:lvl w:ilvl="2">
      <w:start w:val="1"/>
      <w:numFmt w:val="lowerLetter"/>
      <w:suff w:val="space"/>
      <w:lvlText w:val="%3)"/>
      <w:lvlJc w:val="right"/>
      <w:pPr>
        <w:ind w:left="340" w:firstLine="340"/>
      </w:pPr>
      <w:rPr>
        <w:rFonts w:hint="default"/>
      </w:rPr>
    </w:lvl>
    <w:lvl w:ilvl="3">
      <w:start w:val="1"/>
      <w:numFmt w:val="decimal"/>
      <w:lvlText w:val="%4."/>
      <w:lvlJc w:val="left"/>
      <w:pPr>
        <w:ind w:left="2880" w:hanging="360"/>
      </w:pPr>
      <w:rPr>
        <w:rFonts w:hint="default"/>
      </w:rPr>
    </w:lvl>
    <w:lvl w:ilvl="4">
      <w:start w:val="1"/>
      <w:numFmt w:val="lowerLetter"/>
      <w:suff w:val="space"/>
      <w:lvlText w:val="%5."/>
      <w:lvlJc w:val="left"/>
      <w:pPr>
        <w:ind w:left="340" w:firstLine="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8702ACE"/>
    <w:multiLevelType w:val="hybridMultilevel"/>
    <w:tmpl w:val="719840FA"/>
    <w:lvl w:ilvl="0" w:tplc="C22809D0">
      <w:start w:val="1"/>
      <w:numFmt w:val="bullet"/>
      <w:pStyle w:val="Aufgezaehlt2"/>
      <w:lvlText w:val=""/>
      <w:lvlJc w:val="left"/>
      <w:pPr>
        <w:ind w:left="340" w:hanging="340"/>
      </w:pPr>
      <w:rPr>
        <w:rFonts w:ascii="Wingdings" w:hAnsi="Wingdings" w:cs="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C6125C"/>
    <w:multiLevelType w:val="hybridMultilevel"/>
    <w:tmpl w:val="E8C42A24"/>
    <w:lvl w:ilvl="0" w:tplc="27F2B276">
      <w:start w:val="1"/>
      <w:numFmt w:val="bullet"/>
      <w:pStyle w:val="Aufgezaehlt3"/>
      <w:lvlText w:val="–"/>
      <w:lvlJc w:val="left"/>
      <w:pPr>
        <w:ind w:left="340" w:hanging="340"/>
      </w:pPr>
      <w:rPr>
        <w:rFonts w:ascii="Arial" w:hAnsi="Arial" w:hint="default"/>
      </w:rPr>
    </w:lvl>
    <w:lvl w:ilvl="1" w:tplc="04070003" w:tentative="1">
      <w:start w:val="1"/>
      <w:numFmt w:val="bullet"/>
      <w:lvlText w:val="o"/>
      <w:lvlJc w:val="left"/>
      <w:pPr>
        <w:ind w:left="4301" w:hanging="360"/>
      </w:pPr>
      <w:rPr>
        <w:rFonts w:ascii="Courier New" w:hAnsi="Courier New" w:cs="Courier New" w:hint="default"/>
      </w:rPr>
    </w:lvl>
    <w:lvl w:ilvl="2" w:tplc="04070005" w:tentative="1">
      <w:start w:val="1"/>
      <w:numFmt w:val="bullet"/>
      <w:lvlText w:val=""/>
      <w:lvlJc w:val="left"/>
      <w:pPr>
        <w:ind w:left="5021" w:hanging="360"/>
      </w:pPr>
      <w:rPr>
        <w:rFonts w:ascii="Wingdings" w:hAnsi="Wingdings" w:hint="default"/>
      </w:rPr>
    </w:lvl>
    <w:lvl w:ilvl="3" w:tplc="04070001" w:tentative="1">
      <w:start w:val="1"/>
      <w:numFmt w:val="bullet"/>
      <w:lvlText w:val=""/>
      <w:lvlJc w:val="left"/>
      <w:pPr>
        <w:ind w:left="5741" w:hanging="360"/>
      </w:pPr>
      <w:rPr>
        <w:rFonts w:ascii="Symbol" w:hAnsi="Symbol" w:hint="default"/>
      </w:rPr>
    </w:lvl>
    <w:lvl w:ilvl="4" w:tplc="04070003" w:tentative="1">
      <w:start w:val="1"/>
      <w:numFmt w:val="bullet"/>
      <w:lvlText w:val="o"/>
      <w:lvlJc w:val="left"/>
      <w:pPr>
        <w:ind w:left="6461" w:hanging="360"/>
      </w:pPr>
      <w:rPr>
        <w:rFonts w:ascii="Courier New" w:hAnsi="Courier New" w:cs="Courier New" w:hint="default"/>
      </w:rPr>
    </w:lvl>
    <w:lvl w:ilvl="5" w:tplc="04070005" w:tentative="1">
      <w:start w:val="1"/>
      <w:numFmt w:val="bullet"/>
      <w:lvlText w:val=""/>
      <w:lvlJc w:val="left"/>
      <w:pPr>
        <w:ind w:left="7181" w:hanging="360"/>
      </w:pPr>
      <w:rPr>
        <w:rFonts w:ascii="Wingdings" w:hAnsi="Wingdings" w:hint="default"/>
      </w:rPr>
    </w:lvl>
    <w:lvl w:ilvl="6" w:tplc="04070001" w:tentative="1">
      <w:start w:val="1"/>
      <w:numFmt w:val="bullet"/>
      <w:lvlText w:val=""/>
      <w:lvlJc w:val="left"/>
      <w:pPr>
        <w:ind w:left="7901" w:hanging="360"/>
      </w:pPr>
      <w:rPr>
        <w:rFonts w:ascii="Symbol" w:hAnsi="Symbol" w:hint="default"/>
      </w:rPr>
    </w:lvl>
    <w:lvl w:ilvl="7" w:tplc="04070003" w:tentative="1">
      <w:start w:val="1"/>
      <w:numFmt w:val="bullet"/>
      <w:lvlText w:val="o"/>
      <w:lvlJc w:val="left"/>
      <w:pPr>
        <w:ind w:left="8621" w:hanging="360"/>
      </w:pPr>
      <w:rPr>
        <w:rFonts w:ascii="Courier New" w:hAnsi="Courier New" w:cs="Courier New" w:hint="default"/>
      </w:rPr>
    </w:lvl>
    <w:lvl w:ilvl="8" w:tplc="04070005" w:tentative="1">
      <w:start w:val="1"/>
      <w:numFmt w:val="bullet"/>
      <w:lvlText w:val=""/>
      <w:lvlJc w:val="left"/>
      <w:pPr>
        <w:ind w:left="9341" w:hanging="360"/>
      </w:pPr>
      <w:rPr>
        <w:rFonts w:ascii="Wingdings" w:hAnsi="Wingdings" w:hint="default"/>
      </w:rPr>
    </w:lvl>
  </w:abstractNum>
  <w:num w:numId="1" w16cid:durableId="1186870294">
    <w:abstractNumId w:val="1"/>
  </w:num>
  <w:num w:numId="2" w16cid:durableId="1905990475">
    <w:abstractNumId w:val="3"/>
  </w:num>
  <w:num w:numId="3" w16cid:durableId="883559201">
    <w:abstractNumId w:val="5"/>
  </w:num>
  <w:num w:numId="4" w16cid:durableId="1231768777">
    <w:abstractNumId w:val="11"/>
  </w:num>
  <w:num w:numId="5" w16cid:durableId="1495874221">
    <w:abstractNumId w:val="6"/>
  </w:num>
  <w:num w:numId="6" w16cid:durableId="2065254873">
    <w:abstractNumId w:val="12"/>
  </w:num>
  <w:num w:numId="7" w16cid:durableId="2050716799">
    <w:abstractNumId w:val="17"/>
  </w:num>
  <w:num w:numId="8" w16cid:durableId="275723044">
    <w:abstractNumId w:val="18"/>
  </w:num>
  <w:num w:numId="9" w16cid:durableId="1490561171">
    <w:abstractNumId w:val="0"/>
  </w:num>
  <w:num w:numId="10" w16cid:durableId="1961641730">
    <w:abstractNumId w:val="9"/>
  </w:num>
  <w:num w:numId="11" w16cid:durableId="807552788">
    <w:abstractNumId w:val="10"/>
  </w:num>
  <w:num w:numId="12" w16cid:durableId="429084086">
    <w:abstractNumId w:val="7"/>
  </w:num>
  <w:num w:numId="13" w16cid:durableId="1863745108">
    <w:abstractNumId w:val="16"/>
  </w:num>
  <w:num w:numId="14" w16cid:durableId="1019312062">
    <w:abstractNumId w:val="19"/>
  </w:num>
  <w:num w:numId="15" w16cid:durableId="1233084513">
    <w:abstractNumId w:val="20"/>
  </w:num>
  <w:num w:numId="16" w16cid:durableId="232006154">
    <w:abstractNumId w:val="8"/>
  </w:num>
  <w:num w:numId="17" w16cid:durableId="879125082">
    <w:abstractNumId w:val="14"/>
  </w:num>
  <w:num w:numId="18" w16cid:durableId="1192263326">
    <w:abstractNumId w:val="4"/>
  </w:num>
  <w:num w:numId="19" w16cid:durableId="696583322">
    <w:abstractNumId w:val="2"/>
  </w:num>
  <w:num w:numId="20" w16cid:durableId="215942119">
    <w:abstractNumId w:val="13"/>
  </w:num>
  <w:num w:numId="21" w16cid:durableId="667709684">
    <w:abstractNumId w:val="15"/>
  </w:num>
  <w:num w:numId="22" w16cid:durableId="1968971163">
    <w:abstractNumId w:val="19"/>
  </w:num>
  <w:num w:numId="23" w16cid:durableId="157842658">
    <w:abstractNumId w:val="20"/>
  </w:num>
  <w:num w:numId="24" w16cid:durableId="1887839352">
    <w:abstractNumId w:val="8"/>
  </w:num>
  <w:num w:numId="25" w16cid:durableId="1869873304">
    <w:abstractNumId w:val="8"/>
  </w:num>
  <w:num w:numId="26" w16cid:durableId="1751199013">
    <w:abstractNumId w:val="8"/>
  </w:num>
  <w:num w:numId="27" w16cid:durableId="2139838157">
    <w:abstractNumId w:val="14"/>
  </w:num>
  <w:num w:numId="28" w16cid:durableId="2022854069">
    <w:abstractNumId w:val="4"/>
  </w:num>
  <w:num w:numId="29" w16cid:durableId="54397961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1221" w:allStyles="1" w:customStyles="0" w:latentStyles="0"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552"/>
    <w:rsid w:val="00066D75"/>
    <w:rsid w:val="000B01F9"/>
    <w:rsid w:val="000B3A95"/>
    <w:rsid w:val="00102F43"/>
    <w:rsid w:val="001420B8"/>
    <w:rsid w:val="00182552"/>
    <w:rsid w:val="001A14F6"/>
    <w:rsid w:val="002816DB"/>
    <w:rsid w:val="002C0702"/>
    <w:rsid w:val="002F70EE"/>
    <w:rsid w:val="00343BA9"/>
    <w:rsid w:val="003C0AF3"/>
    <w:rsid w:val="003C7259"/>
    <w:rsid w:val="0044694A"/>
    <w:rsid w:val="00471E2B"/>
    <w:rsid w:val="00472687"/>
    <w:rsid w:val="004C0187"/>
    <w:rsid w:val="00512CDB"/>
    <w:rsid w:val="00533CAC"/>
    <w:rsid w:val="005750A3"/>
    <w:rsid w:val="005A56F1"/>
    <w:rsid w:val="005B60C6"/>
    <w:rsid w:val="005F5A73"/>
    <w:rsid w:val="00656ABD"/>
    <w:rsid w:val="006B7EB7"/>
    <w:rsid w:val="006E1216"/>
    <w:rsid w:val="00703D6E"/>
    <w:rsid w:val="007064A5"/>
    <w:rsid w:val="007431BA"/>
    <w:rsid w:val="00747A3F"/>
    <w:rsid w:val="0078309B"/>
    <w:rsid w:val="007914FA"/>
    <w:rsid w:val="00885149"/>
    <w:rsid w:val="008B607B"/>
    <w:rsid w:val="008D706C"/>
    <w:rsid w:val="008F2A77"/>
    <w:rsid w:val="009648C5"/>
    <w:rsid w:val="00973EFD"/>
    <w:rsid w:val="00975407"/>
    <w:rsid w:val="009838FD"/>
    <w:rsid w:val="009A0220"/>
    <w:rsid w:val="009A0362"/>
    <w:rsid w:val="00A323AD"/>
    <w:rsid w:val="00A400E3"/>
    <w:rsid w:val="00A55A85"/>
    <w:rsid w:val="00A575BF"/>
    <w:rsid w:val="00A75C86"/>
    <w:rsid w:val="00AE3A30"/>
    <w:rsid w:val="00B55C1C"/>
    <w:rsid w:val="00BE6299"/>
    <w:rsid w:val="00BF1653"/>
    <w:rsid w:val="00C223C3"/>
    <w:rsid w:val="00C41F16"/>
    <w:rsid w:val="00C76CEE"/>
    <w:rsid w:val="00D469B8"/>
    <w:rsid w:val="00D71F74"/>
    <w:rsid w:val="00DB0B20"/>
    <w:rsid w:val="00DB0E0B"/>
    <w:rsid w:val="00DC4061"/>
    <w:rsid w:val="00DD1D80"/>
    <w:rsid w:val="00E11590"/>
    <w:rsid w:val="00E23057"/>
    <w:rsid w:val="00E7728A"/>
    <w:rsid w:val="00ED3F73"/>
    <w:rsid w:val="00EE3EA4"/>
    <w:rsid w:val="00F132A1"/>
    <w:rsid w:val="00F62896"/>
    <w:rsid w:val="00FB5D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E015"/>
  <w15:chartTrackingRefBased/>
  <w15:docId w15:val="{8235D691-5D35-4486-9CD4-1B547DF8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5"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5" w:unhideWhenUsed="1"/>
    <w:lsdException w:name="List Bullet 3" w:semiHidden="1" w:uiPriority="5"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kern w:val="22"/>
    </w:rPr>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noProof/>
      <w:spacing w:val="12"/>
      <w:sz w:val="24"/>
      <w:szCs w:val="26"/>
    </w:rPr>
  </w:style>
  <w:style w:type="paragraph" w:styleId="berschrift2">
    <w:name w:val="heading 2"/>
    <w:basedOn w:val="Standard"/>
    <w:next w:val="Standard"/>
    <w:link w:val="berschrift2Zchn"/>
    <w:uiPriority w:val="9"/>
    <w:unhideWhenUsed/>
    <w:qFormat/>
    <w:pPr>
      <w:keepNext/>
      <w:keepLines/>
      <w:spacing w:before="40" w:after="0"/>
      <w:outlineLvl w:val="1"/>
    </w:pPr>
    <w:rPr>
      <w:spacing w:val="12"/>
      <w:sz w:val="24"/>
      <w:szCs w:val="24"/>
    </w:rPr>
  </w:style>
  <w:style w:type="paragraph" w:styleId="berschrift3">
    <w:name w:val="heading 3"/>
    <w:basedOn w:val="Standard"/>
    <w:next w:val="Standard"/>
    <w:link w:val="berschrift3Zchn"/>
    <w:uiPriority w:val="9"/>
    <w:unhideWhenUsed/>
    <w:qFormat/>
    <w:pPr>
      <w:keepNext/>
      <w:keepLines/>
      <w:spacing w:before="40" w:after="0"/>
      <w:outlineLvl w:val="2"/>
    </w:pPr>
    <w:rPr>
      <w:rFonts w:asciiTheme="majorHAnsi" w:eastAsiaTheme="majorEastAsia" w:hAnsiTheme="majorHAnsi" w:cstheme="majorBidi"/>
      <w:b/>
      <w:bCs/>
    </w:rPr>
  </w:style>
  <w:style w:type="paragraph" w:styleId="berschrift4">
    <w:name w:val="heading 4"/>
    <w:basedOn w:val="Standard"/>
    <w:next w:val="Standard"/>
    <w:link w:val="berschrift4Zchn"/>
    <w:uiPriority w:val="9"/>
    <w:unhideWhenUsed/>
    <w:pPr>
      <w:keepNext/>
      <w:keepLines/>
      <w:spacing w:before="40" w:after="0"/>
      <w:outlineLvl w:val="3"/>
    </w:pPr>
    <w:rPr>
      <w:rFonts w:asciiTheme="majorHAnsi" w:eastAsiaTheme="majorEastAsia" w:hAnsiTheme="majorHAnsi" w:cstheme="majorBidi"/>
      <w:b/>
      <w:bCs/>
      <w:iCs/>
      <w:color w:val="0072B7" w:themeColor="accent1"/>
    </w:rPr>
  </w:style>
  <w:style w:type="paragraph" w:styleId="berschrift5">
    <w:name w:val="heading 5"/>
    <w:basedOn w:val="Standard"/>
    <w:next w:val="Standard"/>
    <w:link w:val="berschrift5Zchn"/>
    <w:uiPriority w:val="9"/>
    <w:unhideWhenUsed/>
    <w:pPr>
      <w:keepNext/>
      <w:keepLines/>
      <w:spacing w:before="40" w:after="0"/>
      <w:outlineLvl w:val="4"/>
    </w:pPr>
    <w:rPr>
      <w:rFonts w:asciiTheme="majorHAnsi" w:eastAsiaTheme="majorEastAsia" w:hAnsiTheme="majorHAnsi" w:cstheme="majorBidi"/>
      <w:color w:val="0072B7" w:themeColor="accent1"/>
    </w:rPr>
  </w:style>
  <w:style w:type="paragraph" w:styleId="berschrift6">
    <w:name w:val="heading 6"/>
    <w:basedOn w:val="Standard"/>
    <w:next w:val="Standard"/>
    <w:link w:val="berschrift6Zchn"/>
    <w:uiPriority w:val="9"/>
    <w:unhideWhenUsed/>
    <w:pPr>
      <w:keepNext/>
      <w:keepLines/>
      <w:spacing w:before="40" w:after="0"/>
      <w:outlineLvl w:val="5"/>
    </w:pPr>
    <w:rPr>
      <w:rFonts w:asciiTheme="majorHAnsi" w:eastAsiaTheme="majorEastAsia" w:hAnsiTheme="majorHAnsi" w:cstheme="majorBidi"/>
      <w:color w:val="0072B7" w:themeColor="accent1"/>
    </w:rPr>
  </w:style>
  <w:style w:type="paragraph" w:styleId="berschrift7">
    <w:name w:val="heading 7"/>
    <w:basedOn w:val="Standard"/>
    <w:next w:val="Standard"/>
    <w:link w:val="berschrift7Zchn"/>
    <w:uiPriority w:val="9"/>
    <w:unhideWhenUsed/>
    <w:pPr>
      <w:keepNext/>
      <w:keepLines/>
      <w:spacing w:before="40" w:after="0"/>
      <w:outlineLvl w:val="6"/>
    </w:pPr>
    <w:rPr>
      <w:rFonts w:asciiTheme="majorHAnsi" w:eastAsiaTheme="majorEastAsia" w:hAnsiTheme="majorHAnsi" w:cstheme="majorBidi"/>
      <w:iCs/>
      <w:color w:val="0072B7" w:themeColor="accent1"/>
    </w:rPr>
  </w:style>
  <w:style w:type="paragraph" w:styleId="berschrift8">
    <w:name w:val="heading 8"/>
    <w:basedOn w:val="Standard"/>
    <w:next w:val="Standard"/>
    <w:link w:val="berschrift8Zchn"/>
    <w:uiPriority w:val="9"/>
    <w:unhideWhenUsed/>
    <w:pPr>
      <w:keepNext/>
      <w:keepLines/>
      <w:spacing w:before="40" w:after="0"/>
      <w:outlineLvl w:val="7"/>
    </w:pPr>
    <w:rPr>
      <w:rFonts w:asciiTheme="majorHAnsi" w:eastAsiaTheme="majorEastAsia" w:hAnsiTheme="majorHAnsi" w:cstheme="majorBidi"/>
      <w:sz w:val="21"/>
      <w:szCs w:val="21"/>
    </w:rPr>
  </w:style>
  <w:style w:type="paragraph" w:styleId="berschrift9">
    <w:name w:val="heading 9"/>
    <w:basedOn w:val="Standard"/>
    <w:next w:val="Standard"/>
    <w:link w:val="berschrift9Zchn"/>
    <w:uiPriority w:val="9"/>
    <w:unhideWhenUsed/>
    <w:pPr>
      <w:keepNext/>
      <w:keepLines/>
      <w:spacing w:before="40" w:after="0"/>
      <w:outlineLvl w:val="8"/>
    </w:pPr>
    <w:rPr>
      <w:rFonts w:asciiTheme="majorHAnsi" w:eastAsiaTheme="majorEastAsia" w:hAnsiTheme="majorHAnsi" w:cstheme="majorBidi"/>
      <w:iCs/>
      <w:noProof/>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qFormat/>
    <w:pPr>
      <w:tabs>
        <w:tab w:val="left" w:pos="4536"/>
      </w:tabs>
      <w:spacing w:after="0" w:line="240" w:lineRule="auto"/>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qFormat/>
    <w:rPr>
      <w:color w:val="C50E1F" w:themeColor="accent6"/>
    </w:r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iPriority w:val="99"/>
    <w:unhideWhenUsed/>
    <w:pPr>
      <w:spacing w:after="0" w:line="240" w:lineRule="auto"/>
      <w:ind w:right="4366"/>
    </w:pPr>
    <w:rPr>
      <w:sz w:val="16"/>
    </w:rPr>
  </w:style>
  <w:style w:type="character" w:customStyle="1" w:styleId="KopfzeileZchn">
    <w:name w:val="Kopfzeile Zchn"/>
    <w:basedOn w:val="Absatz-Standardschriftart"/>
    <w:link w:val="Kopfzeile"/>
    <w:uiPriority w:val="99"/>
    <w:rPr>
      <w:kern w:val="22"/>
      <w:sz w:val="16"/>
    </w:rPr>
  </w:style>
  <w:style w:type="paragraph" w:styleId="Fuzeile">
    <w:name w:val="footer"/>
    <w:basedOn w:val="Standard"/>
    <w:link w:val="FuzeileZchn"/>
    <w:uiPriority w:val="99"/>
    <w:unhideWhenUsed/>
    <w:pPr>
      <w:tabs>
        <w:tab w:val="center" w:pos="4536"/>
        <w:tab w:val="right" w:pos="9072"/>
      </w:tabs>
      <w:spacing w:after="0" w:line="240" w:lineRule="auto"/>
    </w:pPr>
    <w:rPr>
      <w:sz w:val="16"/>
    </w:rPr>
  </w:style>
  <w:style w:type="character" w:customStyle="1" w:styleId="FuzeileZchn">
    <w:name w:val="Fußzeile Zchn"/>
    <w:basedOn w:val="Absatz-Standardschriftart"/>
    <w:link w:val="Fuzeile"/>
    <w:uiPriority w:val="99"/>
    <w:rPr>
      <w:kern w:val="22"/>
      <w:sz w:val="16"/>
    </w:rPr>
  </w:style>
  <w:style w:type="paragraph" w:customStyle="1" w:styleId="BFAbsenderzeile">
    <w:name w:val="BF Absenderzeile"/>
    <w:basedOn w:val="Standard"/>
    <w:link w:val="BFAbsenderzeileZchn"/>
    <w:uiPriority w:val="1"/>
    <w:pPr>
      <w:spacing w:after="0" w:line="240" w:lineRule="auto"/>
    </w:pPr>
    <w:rPr>
      <w:b/>
      <w:sz w:val="16"/>
      <w:szCs w:val="18"/>
    </w:rPr>
  </w:style>
  <w:style w:type="paragraph" w:customStyle="1" w:styleId="BFBetreff">
    <w:name w:val="BF Betreff"/>
    <w:basedOn w:val="Standard"/>
    <w:uiPriority w:val="1"/>
    <w:qFormat/>
    <w:pPr>
      <w:spacing w:after="0"/>
    </w:pPr>
    <w:rPr>
      <w:b/>
    </w:rPr>
  </w:style>
  <w:style w:type="paragraph" w:customStyle="1" w:styleId="BFInfoblocklinks">
    <w:name w:val="BF Infoblock links"/>
    <w:basedOn w:val="Standard"/>
    <w:link w:val="BFInfoblocklinksZchn"/>
    <w:uiPriority w:val="1"/>
    <w:pPr>
      <w:framePr w:hSpace="142" w:wrap="around" w:vAnchor="page" w:hAnchor="margin" w:xAlign="right" w:y="2949"/>
      <w:spacing w:after="0" w:line="240" w:lineRule="auto"/>
      <w:suppressOverlap/>
    </w:pPr>
    <w:rPr>
      <w:sz w:val="16"/>
      <w:szCs w:val="16"/>
    </w:rPr>
  </w:style>
  <w:style w:type="character" w:styleId="Fett">
    <w:name w:val="Strong"/>
    <w:basedOn w:val="Absatz-Standardschriftart"/>
    <w:uiPriority w:val="22"/>
    <w:qFormat/>
    <w:rPr>
      <w:b/>
      <w:bCs/>
    </w:rPr>
  </w:style>
  <w:style w:type="character" w:customStyle="1" w:styleId="BFAbsenderzeileZchn">
    <w:name w:val="BF Absenderzeile Zchn"/>
    <w:basedOn w:val="Absatz-Standardschriftart"/>
    <w:link w:val="BFAbsenderzeile"/>
    <w:uiPriority w:val="1"/>
    <w:rPr>
      <w:b/>
      <w:kern w:val="22"/>
      <w:sz w:val="16"/>
      <w:szCs w:val="18"/>
    </w:rPr>
  </w:style>
  <w:style w:type="character" w:customStyle="1" w:styleId="BFInfoblocklinksZchn">
    <w:name w:val="BF Infoblock links Zchn"/>
    <w:basedOn w:val="BFAbsenderzeileZchn"/>
    <w:link w:val="BFInfoblocklinks"/>
    <w:uiPriority w:val="1"/>
    <w:rPr>
      <w:b w:val="0"/>
      <w:kern w:val="22"/>
      <w:sz w:val="16"/>
      <w:szCs w:val="16"/>
    </w:rPr>
  </w:style>
  <w:style w:type="paragraph" w:styleId="Aufzhlungszeichen">
    <w:name w:val="List Bullet"/>
    <w:basedOn w:val="Standard"/>
    <w:uiPriority w:val="5"/>
    <w:pPr>
      <w:numPr>
        <w:numId w:val="26"/>
      </w:numPr>
      <w:spacing w:after="60"/>
    </w:pPr>
  </w:style>
  <w:style w:type="character" w:styleId="Hyperlink">
    <w:name w:val="Hyperlink"/>
    <w:basedOn w:val="Absatz-Standardschriftart"/>
    <w:uiPriority w:val="99"/>
    <w:unhideWhenUsed/>
    <w:rPr>
      <w:color w:val="0072B7" w:themeColor="accent1"/>
      <w:u w:val="single"/>
    </w:rPr>
  </w:style>
  <w:style w:type="table" w:customStyle="1" w:styleId="KVBFormulartabelle">
    <w:name w:val="KVB Formulartabelle"/>
    <w:basedOn w:val="NormaleTabelle"/>
    <w:uiPriority w:val="99"/>
    <w:pPr>
      <w:spacing w:after="0" w:line="240" w:lineRule="auto"/>
    </w:pPr>
    <w:rPr>
      <w:sz w:val="20"/>
      <w:szCs w:val="20"/>
    </w:rPr>
    <w:tblPr>
      <w:tblBorders>
        <w:bottom w:val="dotted" w:sz="4" w:space="0" w:color="7F7F7F" w:themeColor="text1" w:themeTint="80"/>
        <w:insideH w:val="dotted" w:sz="4" w:space="0" w:color="7F7F7F" w:themeColor="text1" w:themeTint="80"/>
      </w:tblBorders>
      <w:tblCellMar>
        <w:left w:w="0" w:type="dxa"/>
        <w:right w:w="0" w:type="dxa"/>
      </w:tblCellMar>
    </w:tblPr>
    <w:tcPr>
      <w:vAlign w:val="bottom"/>
    </w:tcPr>
    <w:tblStylePr w:type="firstCol">
      <w:rPr>
        <w:b w:val="0"/>
      </w:rPr>
      <w:tblPr/>
      <w:tcPr>
        <w:tcBorders>
          <w:top w:val="nil"/>
          <w:left w:val="nil"/>
          <w:bottom w:val="nil"/>
          <w:right w:val="nil"/>
          <w:insideH w:val="nil"/>
          <w:insideV w:val="nil"/>
          <w:tl2br w:val="nil"/>
          <w:tr2bl w:val="nil"/>
        </w:tcBorders>
      </w:tcPr>
    </w:tblStylePr>
  </w:style>
  <w:style w:type="paragraph" w:customStyle="1" w:styleId="BFVerabschiedung">
    <w:name w:val="BF Verabschiedung"/>
    <w:basedOn w:val="Standard"/>
    <w:uiPriority w:val="1"/>
    <w:pPr>
      <w:keepNext/>
      <w:spacing w:before="400" w:after="0"/>
    </w:pPr>
    <w:rPr>
      <w:szCs w:val="18"/>
    </w:rPr>
  </w:style>
  <w:style w:type="character" w:customStyle="1" w:styleId="berschrift2Zchn">
    <w:name w:val="Überschrift 2 Zchn"/>
    <w:basedOn w:val="Absatz-Standardschriftart"/>
    <w:link w:val="berschrift2"/>
    <w:uiPriority w:val="9"/>
    <w:rPr>
      <w:spacing w:val="12"/>
      <w:kern w:val="22"/>
      <w:sz w:val="24"/>
      <w:szCs w:val="24"/>
    </w:rPr>
  </w:style>
  <w:style w:type="character" w:styleId="IntensiverVerweis">
    <w:name w:val="Intense Reference"/>
    <w:basedOn w:val="Absatz-Standardschriftart"/>
    <w:uiPriority w:val="32"/>
    <w:qFormat/>
    <w:rPr>
      <w:b/>
      <w:bCs/>
      <w:smallCaps/>
      <w:color w:val="0072B7" w:themeColor="accent1"/>
      <w:spacing w:val="5"/>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noProof/>
      <w:spacing w:val="12"/>
      <w:kern w:val="22"/>
      <w:sz w:val="24"/>
      <w:szCs w:val="26"/>
    </w:rPr>
  </w:style>
  <w:style w:type="paragraph" w:styleId="Funotentext">
    <w:name w:val="footnote text"/>
    <w:basedOn w:val="Standard"/>
    <w:link w:val="FunotentextZchn"/>
    <w:uiPriority w:val="99"/>
    <w:unhideWhenUsed/>
    <w:pPr>
      <w:spacing w:after="0" w:line="240" w:lineRule="auto"/>
    </w:pPr>
    <w:rPr>
      <w:sz w:val="16"/>
      <w:szCs w:val="20"/>
    </w:rPr>
  </w:style>
  <w:style w:type="character" w:customStyle="1" w:styleId="FunotentextZchn">
    <w:name w:val="Fußnotentext Zchn"/>
    <w:basedOn w:val="Absatz-Standardschriftart"/>
    <w:link w:val="Funotentext"/>
    <w:uiPriority w:val="99"/>
    <w:rPr>
      <w:kern w:val="22"/>
      <w:sz w:val="16"/>
      <w:szCs w:val="20"/>
    </w:rPr>
  </w:style>
  <w:style w:type="paragraph" w:styleId="Endnotentext">
    <w:name w:val="endnote text"/>
    <w:basedOn w:val="Standard"/>
    <w:link w:val="EndnotentextZchn"/>
    <w:uiPriority w:val="99"/>
    <w:pPr>
      <w:spacing w:after="0" w:line="240" w:lineRule="auto"/>
    </w:pPr>
    <w:rPr>
      <w:sz w:val="18"/>
      <w:szCs w:val="20"/>
    </w:rPr>
  </w:style>
  <w:style w:type="character" w:customStyle="1" w:styleId="EndnotentextZchn">
    <w:name w:val="Endnotentext Zchn"/>
    <w:basedOn w:val="Absatz-Standardschriftart"/>
    <w:link w:val="Endnotentext"/>
    <w:uiPriority w:val="99"/>
    <w:rPr>
      <w:kern w:val="22"/>
      <w:sz w:val="18"/>
      <w:szCs w:val="20"/>
    </w:rPr>
  </w:style>
  <w:style w:type="paragraph" w:styleId="Untertitel">
    <w:name w:val="Subtitle"/>
    <w:basedOn w:val="Standard"/>
    <w:next w:val="Standard"/>
    <w:link w:val="UntertitelZchn"/>
    <w:uiPriority w:val="11"/>
    <w:qFormat/>
    <w:pPr>
      <w:numPr>
        <w:ilvl w:val="1"/>
      </w:numPr>
      <w:spacing w:after="160"/>
    </w:pPr>
    <w:rPr>
      <w:rFonts w:eastAsiaTheme="minorEastAsia"/>
      <w:vanish/>
      <w:color w:val="5A5A5A" w:themeColor="text1" w:themeTint="A5"/>
      <w:spacing w:val="15"/>
      <w:sz w:val="16"/>
    </w:rPr>
  </w:style>
  <w:style w:type="character" w:customStyle="1" w:styleId="UntertitelZchn">
    <w:name w:val="Untertitel Zchn"/>
    <w:basedOn w:val="Absatz-Standardschriftart"/>
    <w:link w:val="Untertitel"/>
    <w:uiPriority w:val="11"/>
    <w:rPr>
      <w:rFonts w:eastAsiaTheme="minorEastAsia"/>
      <w:vanish/>
      <w:color w:val="5A5A5A" w:themeColor="text1" w:themeTint="A5"/>
      <w:spacing w:val="15"/>
      <w:kern w:val="22"/>
      <w:sz w:val="16"/>
    </w:rPr>
  </w:style>
  <w:style w:type="paragraph" w:customStyle="1" w:styleId="Aufgezaehlt1">
    <w:name w:val="Aufgezaehlt1"/>
    <w:basedOn w:val="Standard"/>
    <w:uiPriority w:val="1"/>
    <w:qFormat/>
    <w:pPr>
      <w:numPr>
        <w:numId w:val="21"/>
      </w:numPr>
      <w:spacing w:before="40"/>
      <w:contextualSpacing/>
    </w:pPr>
  </w:style>
  <w:style w:type="paragraph" w:styleId="Aufzhlungszeichen2">
    <w:name w:val="List Bullet 2"/>
    <w:basedOn w:val="Aufzhlungszeichen"/>
    <w:uiPriority w:val="5"/>
    <w:unhideWhenUsed/>
    <w:pPr>
      <w:numPr>
        <w:ilvl w:val="1"/>
      </w:numPr>
    </w:pPr>
  </w:style>
  <w:style w:type="paragraph" w:customStyle="1" w:styleId="BFInfoblockrechts">
    <w:name w:val="BF Infoblock rechts"/>
    <w:basedOn w:val="Standard"/>
    <w:uiPriority w:val="1"/>
    <w:pPr>
      <w:framePr w:wrap="around" w:hAnchor="text"/>
      <w:spacing w:after="0" w:line="240" w:lineRule="auto"/>
      <w:ind w:right="108"/>
      <w:jc w:val="right"/>
    </w:pPr>
    <w:rPr>
      <w:rFonts w:eastAsia="Times New Roman" w:cs="Times New Roman"/>
      <w:sz w:val="16"/>
      <w:szCs w:val="20"/>
    </w:rPr>
  </w:style>
  <w:style w:type="paragraph" w:customStyle="1" w:styleId="Aufgezaehlt2">
    <w:name w:val="Aufgezaehlt2"/>
    <w:basedOn w:val="Standard"/>
    <w:uiPriority w:val="1"/>
    <w:qFormat/>
    <w:pPr>
      <w:numPr>
        <w:numId w:val="22"/>
      </w:numPr>
      <w:spacing w:before="40"/>
      <w:contextualSpacing/>
    </w:pPr>
  </w:style>
  <w:style w:type="paragraph" w:styleId="Aufzhlungszeichen3">
    <w:name w:val="List Bullet 3"/>
    <w:basedOn w:val="Aufzhlungszeichen2"/>
    <w:uiPriority w:val="5"/>
    <w:unhideWhenUsed/>
    <w:pPr>
      <w:numPr>
        <w:ilvl w:val="2"/>
      </w:numPr>
    </w:pPr>
  </w:style>
  <w:style w:type="paragraph" w:customStyle="1" w:styleId="Aufgezaehlt3">
    <w:name w:val="Aufgezaehlt3"/>
    <w:basedOn w:val="Standard"/>
    <w:uiPriority w:val="1"/>
    <w:qFormat/>
    <w:pPr>
      <w:numPr>
        <w:numId w:val="23"/>
      </w:numPr>
      <w:spacing w:after="480"/>
      <w:contextualSpacing/>
    </w:pPr>
  </w:style>
  <w:style w:type="paragraph" w:styleId="Aufzhlungszeichen4">
    <w:name w:val="List Bullet 4"/>
    <w:basedOn w:val="Aufzhlungszeichen3"/>
    <w:uiPriority w:val="99"/>
    <w:unhideWhenUsed/>
    <w:pPr>
      <w:numPr>
        <w:ilvl w:val="3"/>
        <w:numId w:val="27"/>
      </w:numPr>
    </w:pPr>
  </w:style>
  <w:style w:type="paragraph" w:styleId="Aufzhlungszeichen5">
    <w:name w:val="List Bullet 5"/>
    <w:basedOn w:val="Aufzhlungszeichen4"/>
    <w:uiPriority w:val="99"/>
    <w:unhideWhenUsed/>
    <w:pPr>
      <w:numPr>
        <w:ilvl w:val="4"/>
        <w:numId w:val="28"/>
      </w:numPr>
    </w:pPr>
    <w:rPr>
      <w:color w:val="00254D" w:themeColor="text2"/>
    </w:rPr>
  </w:style>
  <w:style w:type="paragraph" w:styleId="Beschriftung">
    <w:name w:val="caption"/>
    <w:basedOn w:val="Standard"/>
    <w:next w:val="Standard"/>
    <w:uiPriority w:val="35"/>
    <w:unhideWhenUsed/>
    <w:qFormat/>
    <w:pPr>
      <w:spacing w:after="200" w:line="240" w:lineRule="auto"/>
    </w:pPr>
    <w:rPr>
      <w:color w:val="7F7F7F" w:themeColor="text1" w:themeTint="80"/>
      <w:sz w:val="16"/>
      <w:szCs w:val="16"/>
    </w:rPr>
  </w:style>
  <w:style w:type="character" w:styleId="Buchtitel">
    <w:name w:val="Book Title"/>
    <w:basedOn w:val="Absatz-Standardschriftart"/>
    <w:uiPriority w:val="99"/>
    <w:rPr>
      <w:b/>
      <w:bCs/>
      <w:i/>
      <w:iCs/>
      <w:spacing w:val="5"/>
    </w:rPr>
  </w:style>
  <w:style w:type="paragraph" w:styleId="Fu-Endnotenberschrift">
    <w:name w:val="Note Heading"/>
    <w:basedOn w:val="Standard"/>
    <w:next w:val="Standard"/>
    <w:link w:val="Fu-EndnotenberschriftZchn"/>
    <w:uiPriority w:val="99"/>
    <w:semiHidden/>
    <w:unhideWhenUsed/>
    <w:pPr>
      <w:spacing w:after="0" w:line="240" w:lineRule="auto"/>
    </w:pPr>
    <w:rPr>
      <w:sz w:val="18"/>
    </w:rPr>
  </w:style>
  <w:style w:type="character" w:customStyle="1" w:styleId="Fu-EndnotenberschriftZchn">
    <w:name w:val="Fuß/-Endnotenüberschrift Zchn"/>
    <w:basedOn w:val="Absatz-Standardschriftart"/>
    <w:link w:val="Fu-Endnotenberschrift"/>
    <w:uiPriority w:val="99"/>
    <w:semiHidden/>
    <w:rPr>
      <w:kern w:val="22"/>
      <w:sz w:val="18"/>
    </w:rPr>
  </w:style>
  <w:style w:type="character" w:styleId="Funotenzeichen">
    <w:name w:val="footnote reference"/>
    <w:basedOn w:val="Absatz-Standardschriftart"/>
    <w:uiPriority w:val="99"/>
    <w:semiHidden/>
    <w:unhideWhenUsed/>
    <w:rPr>
      <w:vertAlign w:val="superscript"/>
    </w:rPr>
  </w:style>
  <w:style w:type="character" w:styleId="Hervorhebung">
    <w:name w:val="Emphasis"/>
    <w:basedOn w:val="Absatz-Standardschriftart"/>
    <w:uiPriority w:val="20"/>
    <w:qFormat/>
    <w:rPr>
      <w:i/>
      <w:iCs/>
    </w:rPr>
  </w:style>
  <w:style w:type="paragraph" w:styleId="Inhaltsverzeichnisberschrift">
    <w:name w:val="TOC Heading"/>
    <w:basedOn w:val="berschrift1"/>
    <w:next w:val="Standard"/>
    <w:uiPriority w:val="39"/>
    <w:unhideWhenUsed/>
    <w:pPr>
      <w:spacing w:after="240"/>
      <w:outlineLvl w:val="9"/>
    </w:pPr>
    <w:rPr>
      <w:noProof w:val="0"/>
      <w:color w:val="0090C6" w:themeColor="accent2"/>
      <w:sz w:val="32"/>
      <w:szCs w:val="32"/>
      <w:lang w:eastAsia="de-DE"/>
    </w:rPr>
  </w:style>
  <w:style w:type="character" w:styleId="IntensiveHervorhebung">
    <w:name w:val="Intense Emphasis"/>
    <w:basedOn w:val="Absatz-Standardschriftart"/>
    <w:uiPriority w:val="21"/>
    <w:qFormat/>
    <w:rPr>
      <w:i/>
      <w:iCs/>
      <w:color w:val="0072B7" w:themeColor="accent1"/>
    </w:rPr>
  </w:style>
  <w:style w:type="paragraph" w:styleId="IntensivesZitat">
    <w:name w:val="Intense Quote"/>
    <w:basedOn w:val="Standard"/>
    <w:next w:val="Standard"/>
    <w:link w:val="IntensivesZitatZchn"/>
    <w:uiPriority w:val="30"/>
    <w:qFormat/>
    <w:pPr>
      <w:pBdr>
        <w:top w:val="single" w:sz="4" w:space="10" w:color="0072B7" w:themeColor="accent1"/>
        <w:bottom w:val="single" w:sz="4" w:space="10" w:color="0072B7" w:themeColor="accent1"/>
      </w:pBdr>
      <w:spacing w:before="360" w:after="360"/>
      <w:ind w:left="864" w:right="864"/>
      <w:jc w:val="center"/>
    </w:pPr>
    <w:rPr>
      <w:i/>
      <w:iCs/>
      <w:color w:val="0072B7" w:themeColor="accent1"/>
    </w:rPr>
  </w:style>
  <w:style w:type="character" w:customStyle="1" w:styleId="IntensivesZitatZchn">
    <w:name w:val="Intensives Zitat Zchn"/>
    <w:basedOn w:val="Absatz-Standardschriftart"/>
    <w:link w:val="IntensivesZitat"/>
    <w:uiPriority w:val="30"/>
    <w:rPr>
      <w:i/>
      <w:iCs/>
      <w:color w:val="0072B7" w:themeColor="accent1"/>
      <w:kern w:val="22"/>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kern w:val="22"/>
      <w:sz w:val="20"/>
      <w:szCs w:val="20"/>
    </w:rPr>
  </w:style>
  <w:style w:type="table" w:customStyle="1" w:styleId="KVBStandard">
    <w:name w:val="KVB Standard"/>
    <w:basedOn w:val="NormaleTabelle"/>
    <w:uiPriority w:val="99"/>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2E7FF" w:themeFill="text2" w:themeFillTint="1A"/>
    </w:tcPr>
    <w:tblStylePr w:type="firstRow">
      <w:rPr>
        <w:b/>
      </w:rPr>
      <w:tblPr/>
      <w:tcPr>
        <w:shd w:val="clear" w:color="auto" w:fill="D9D9D9" w:themeFill="background2" w:themeFillShade="D9"/>
      </w:tcPr>
    </w:tblStylePr>
    <w:tblStylePr w:type="lastRow">
      <w:rPr>
        <w:b/>
      </w:rPr>
      <w:tblPr/>
      <w:tcPr>
        <w:shd w:val="clear" w:color="auto" w:fill="D9D9D9" w:themeFill="background1" w:themeFillShade="D9"/>
      </w:tcPr>
    </w:tblStylePr>
    <w:tblStylePr w:type="firstCol">
      <w:rPr>
        <w:b/>
      </w:rPr>
    </w:tblStyle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paragraph" w:styleId="Titel">
    <w:name w:val="Title"/>
    <w:basedOn w:val="Standard"/>
    <w:next w:val="Standard"/>
    <w:link w:val="TitelZchn"/>
    <w:uiPriority w:val="9"/>
    <w:qFormat/>
    <w:pPr>
      <w:pBdr>
        <w:bottom w:val="single" w:sz="4" w:space="1" w:color="auto"/>
      </w:pBdr>
      <w:spacing w:after="300" w:line="240" w:lineRule="auto"/>
      <w:contextualSpacing/>
    </w:pPr>
    <w:rPr>
      <w:rFonts w:asciiTheme="majorHAnsi" w:eastAsiaTheme="majorEastAsia" w:hAnsiTheme="majorHAnsi" w:cstheme="majorBidi"/>
      <w:spacing w:val="8"/>
      <w:kern w:val="28"/>
      <w:sz w:val="32"/>
      <w:szCs w:val="32"/>
    </w:rPr>
  </w:style>
  <w:style w:type="character" w:customStyle="1" w:styleId="TitelZchn">
    <w:name w:val="Titel Zchn"/>
    <w:basedOn w:val="Absatz-Standardschriftart"/>
    <w:link w:val="Titel"/>
    <w:uiPriority w:val="9"/>
    <w:rPr>
      <w:rFonts w:asciiTheme="majorHAnsi" w:eastAsiaTheme="majorEastAsia" w:hAnsiTheme="majorHAnsi" w:cstheme="majorBidi"/>
      <w:spacing w:val="8"/>
      <w:kern w:val="28"/>
      <w:sz w:val="32"/>
      <w:szCs w:val="32"/>
    </w:rPr>
  </w:style>
  <w:style w:type="character" w:customStyle="1" w:styleId="berschrift3Zchn">
    <w:name w:val="Überschrift 3 Zchn"/>
    <w:basedOn w:val="Absatz-Standardschriftart"/>
    <w:link w:val="berschrift3"/>
    <w:uiPriority w:val="9"/>
    <w:rPr>
      <w:rFonts w:asciiTheme="majorHAnsi" w:eastAsiaTheme="majorEastAsia" w:hAnsiTheme="majorHAnsi" w:cstheme="majorBidi"/>
      <w:b/>
      <w:bCs/>
      <w:kern w:val="22"/>
    </w:rPr>
  </w:style>
  <w:style w:type="character" w:customStyle="1" w:styleId="berschrift4Zchn">
    <w:name w:val="Überschrift 4 Zchn"/>
    <w:basedOn w:val="Absatz-Standardschriftart"/>
    <w:link w:val="berschrift4"/>
    <w:uiPriority w:val="9"/>
    <w:rPr>
      <w:rFonts w:asciiTheme="majorHAnsi" w:eastAsiaTheme="majorEastAsia" w:hAnsiTheme="majorHAnsi" w:cstheme="majorBidi"/>
      <w:b/>
      <w:bCs/>
      <w:iCs/>
      <w:color w:val="0072B7" w:themeColor="accent1"/>
      <w:kern w:val="22"/>
    </w:rPr>
  </w:style>
  <w:style w:type="character" w:customStyle="1" w:styleId="berschrift5Zchn">
    <w:name w:val="Überschrift 5 Zchn"/>
    <w:basedOn w:val="Absatz-Standardschriftart"/>
    <w:link w:val="berschrift5"/>
    <w:uiPriority w:val="9"/>
    <w:rPr>
      <w:rFonts w:asciiTheme="majorHAnsi" w:eastAsiaTheme="majorEastAsia" w:hAnsiTheme="majorHAnsi" w:cstheme="majorBidi"/>
      <w:color w:val="0072B7" w:themeColor="accent1"/>
      <w:kern w:val="22"/>
    </w:rPr>
  </w:style>
  <w:style w:type="character" w:customStyle="1" w:styleId="berschrift6Zchn">
    <w:name w:val="Überschrift 6 Zchn"/>
    <w:basedOn w:val="Absatz-Standardschriftart"/>
    <w:link w:val="berschrift6"/>
    <w:uiPriority w:val="9"/>
    <w:rPr>
      <w:rFonts w:asciiTheme="majorHAnsi" w:eastAsiaTheme="majorEastAsia" w:hAnsiTheme="majorHAnsi" w:cstheme="majorBidi"/>
      <w:color w:val="0072B7" w:themeColor="accent1"/>
      <w:kern w:val="22"/>
    </w:rPr>
  </w:style>
  <w:style w:type="character" w:customStyle="1" w:styleId="berschrift7Zchn">
    <w:name w:val="Überschrift 7 Zchn"/>
    <w:basedOn w:val="Absatz-Standardschriftart"/>
    <w:link w:val="berschrift7"/>
    <w:uiPriority w:val="9"/>
    <w:rPr>
      <w:rFonts w:asciiTheme="majorHAnsi" w:eastAsiaTheme="majorEastAsia" w:hAnsiTheme="majorHAnsi" w:cstheme="majorBidi"/>
      <w:iCs/>
      <w:color w:val="0072B7" w:themeColor="accent1"/>
      <w:kern w:val="22"/>
    </w:rPr>
  </w:style>
  <w:style w:type="character" w:customStyle="1" w:styleId="berschrift8Zchn">
    <w:name w:val="Überschrift 8 Zchn"/>
    <w:basedOn w:val="Absatz-Standardschriftart"/>
    <w:link w:val="berschrift8"/>
    <w:uiPriority w:val="9"/>
    <w:rPr>
      <w:rFonts w:asciiTheme="majorHAnsi" w:eastAsiaTheme="majorEastAsia" w:hAnsiTheme="majorHAnsi" w:cstheme="majorBidi"/>
      <w:kern w:val="22"/>
      <w:sz w:val="21"/>
      <w:szCs w:val="21"/>
    </w:rPr>
  </w:style>
  <w:style w:type="character" w:customStyle="1" w:styleId="berschrift9Zchn">
    <w:name w:val="Überschrift 9 Zchn"/>
    <w:basedOn w:val="Absatz-Standardschriftart"/>
    <w:link w:val="berschrift9"/>
    <w:uiPriority w:val="9"/>
    <w:rPr>
      <w:rFonts w:asciiTheme="majorHAnsi" w:eastAsiaTheme="majorEastAsia" w:hAnsiTheme="majorHAnsi" w:cstheme="majorBidi"/>
      <w:iCs/>
      <w:noProof/>
      <w:kern w:val="22"/>
      <w:sz w:val="21"/>
      <w:szCs w:val="21"/>
      <w:lang w:val="en-US"/>
    </w:rPr>
  </w:style>
  <w:style w:type="paragraph" w:styleId="Verzeichnis1">
    <w:name w:val="toc 1"/>
    <w:basedOn w:val="Standard"/>
    <w:next w:val="Standard"/>
    <w:autoRedefine/>
    <w:uiPriority w:val="39"/>
    <w:unhideWhenUsed/>
    <w:pPr>
      <w:spacing w:after="100"/>
    </w:pPr>
    <w:rPr>
      <w:color w:val="0072B7" w:themeColor="accent1"/>
    </w:rPr>
  </w:style>
  <w:style w:type="paragraph" w:styleId="Verzeichnis2">
    <w:name w:val="toc 2"/>
    <w:basedOn w:val="Standard"/>
    <w:next w:val="Standard"/>
    <w:autoRedefine/>
    <w:uiPriority w:val="39"/>
    <w:unhideWhenUsed/>
    <w:pPr>
      <w:spacing w:after="100"/>
    </w:pPr>
  </w:style>
  <w:style w:type="paragraph" w:styleId="Verzeichnis3">
    <w:name w:val="toc 3"/>
    <w:basedOn w:val="Standard"/>
    <w:next w:val="Standard"/>
    <w:autoRedefine/>
    <w:uiPriority w:val="39"/>
    <w:unhideWhenUsed/>
    <w:pPr>
      <w:tabs>
        <w:tab w:val="right" w:leader="underscore" w:pos="9062"/>
      </w:tabs>
      <w:spacing w:after="100"/>
    </w:pPr>
    <w:rPr>
      <w:noProof/>
    </w:rPr>
  </w:style>
  <w:style w:type="paragraph" w:styleId="Verzeichnis4">
    <w:name w:val="toc 4"/>
    <w:basedOn w:val="Standard"/>
    <w:next w:val="Standard"/>
    <w:autoRedefine/>
    <w:uiPriority w:val="39"/>
    <w:unhideWhenUsed/>
    <w:pPr>
      <w:tabs>
        <w:tab w:val="right" w:leader="underscore" w:pos="9062"/>
      </w:tabs>
      <w:spacing w:after="100"/>
      <w:ind w:left="340"/>
    </w:pPr>
    <w:rPr>
      <w:noProof/>
    </w:rPr>
  </w:style>
  <w:style w:type="paragraph" w:styleId="Verzeichnis5">
    <w:name w:val="toc 5"/>
    <w:basedOn w:val="Standard"/>
    <w:next w:val="Standard"/>
    <w:autoRedefine/>
    <w:uiPriority w:val="39"/>
    <w:unhideWhenUsed/>
    <w:pPr>
      <w:tabs>
        <w:tab w:val="right" w:leader="underscore" w:pos="9062"/>
      </w:tabs>
      <w:spacing w:after="100"/>
      <w:ind w:left="340"/>
    </w:pPr>
    <w:rPr>
      <w:noProof/>
    </w:rPr>
  </w:style>
  <w:style w:type="paragraph" w:styleId="Verzeichnis6">
    <w:name w:val="toc 6"/>
    <w:basedOn w:val="Standard"/>
    <w:next w:val="Standard"/>
    <w:autoRedefine/>
    <w:uiPriority w:val="39"/>
    <w:unhideWhenUsed/>
    <w:pPr>
      <w:tabs>
        <w:tab w:val="right" w:leader="underscore" w:pos="9062"/>
      </w:tabs>
      <w:spacing w:after="100"/>
      <w:ind w:left="340"/>
    </w:pPr>
    <w:rPr>
      <w:noProof/>
    </w:rPr>
  </w:style>
  <w:style w:type="paragraph" w:styleId="Verzeichnis7">
    <w:name w:val="toc 7"/>
    <w:basedOn w:val="Standard"/>
    <w:next w:val="Standard"/>
    <w:autoRedefine/>
    <w:uiPriority w:val="39"/>
    <w:unhideWhenUsed/>
    <w:pPr>
      <w:tabs>
        <w:tab w:val="right" w:leader="underscore" w:pos="9062"/>
      </w:tabs>
      <w:spacing w:after="100"/>
      <w:ind w:left="340"/>
    </w:pPr>
    <w:rPr>
      <w:noProof/>
    </w:rPr>
  </w:style>
  <w:style w:type="paragraph" w:styleId="Verzeichnis8">
    <w:name w:val="toc 8"/>
    <w:basedOn w:val="Standard"/>
    <w:next w:val="Standard"/>
    <w:autoRedefine/>
    <w:uiPriority w:val="39"/>
    <w:unhideWhenUsed/>
    <w:pPr>
      <w:tabs>
        <w:tab w:val="right" w:leader="underscore" w:pos="9062"/>
      </w:tabs>
      <w:spacing w:after="100"/>
      <w:ind w:left="340"/>
    </w:pPr>
    <w:rPr>
      <w:noProof/>
    </w:rPr>
  </w:style>
  <w:style w:type="paragraph" w:styleId="Verzeichnis9">
    <w:name w:val="toc 9"/>
    <w:basedOn w:val="Standard"/>
    <w:next w:val="Standard"/>
    <w:autoRedefine/>
    <w:uiPriority w:val="39"/>
    <w:unhideWhenUsed/>
    <w:pPr>
      <w:tabs>
        <w:tab w:val="right" w:leader="underscore" w:pos="9062"/>
      </w:tabs>
      <w:spacing w:after="100"/>
      <w:ind w:left="340"/>
    </w:pPr>
    <w:rPr>
      <w:noProof/>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kern w:val="22"/>
    </w:rPr>
  </w:style>
  <w:style w:type="paragraph" w:customStyle="1" w:styleId="BFAusfertigung">
    <w:name w:val="BF Ausfertigung"/>
    <w:basedOn w:val="KeinLeerraum"/>
    <w:uiPriority w:val="1"/>
    <w:rPr>
      <w:color w:val="595959" w:themeColor="text1" w:themeTint="A6"/>
      <w:spacing w:val="10"/>
      <w:sz w:val="16"/>
    </w:rPr>
  </w:style>
  <w:style w:type="paragraph" w:customStyle="1" w:styleId="BFSachverhaltGrnde">
    <w:name w:val="BF Sachverhalt_Gründe"/>
    <w:basedOn w:val="BFHervorhebung"/>
    <w:next w:val="Standard"/>
    <w:uiPriority w:val="1"/>
    <w:qFormat/>
    <w:rPr>
      <w:b w:val="0"/>
      <w:bCs w:val="0"/>
      <w:u w:val="single"/>
    </w:rPr>
  </w:style>
  <w:style w:type="table" w:customStyle="1" w:styleId="KVBInfoblock">
    <w:name w:val="KVB Infoblock"/>
    <w:basedOn w:val="NormaleTabelle"/>
    <w:uiPriority w:val="99"/>
    <w:pPr>
      <w:spacing w:after="0" w:line="240" w:lineRule="auto"/>
    </w:pPr>
    <w:rPr>
      <w:sz w:val="16"/>
    </w:rPr>
    <w:tblPr>
      <w:tblCellMar>
        <w:left w:w="0" w:type="dxa"/>
        <w:right w:w="0" w:type="dxa"/>
      </w:tblCellMar>
    </w:tblPr>
    <w:tcPr>
      <w:vAlign w:val="bottom"/>
    </w:tcPr>
  </w:style>
  <w:style w:type="paragraph" w:customStyle="1" w:styleId="BFHervorhebung">
    <w:name w:val="BF Hervorhebung"/>
    <w:basedOn w:val="KeinLeerraum"/>
    <w:uiPriority w:val="1"/>
    <w:qFormat/>
    <w:pPr>
      <w:keepNext/>
      <w:spacing w:after="80"/>
    </w:pPr>
    <w:rPr>
      <w:b/>
      <w:bCs/>
    </w:rPr>
  </w:style>
  <w:style w:type="paragraph" w:customStyle="1" w:styleId="BFFMCheckbox">
    <w:name w:val="BF_FM Checkbox"/>
    <w:basedOn w:val="Standard"/>
    <w:link w:val="BFFMCheckboxZchn"/>
    <w:uiPriority w:val="1"/>
    <w:pPr>
      <w:spacing w:after="0" w:line="240" w:lineRule="auto"/>
      <w:ind w:left="397" w:hanging="397"/>
    </w:pPr>
    <w:rPr>
      <w:rFonts w:ascii="MS Gothic" w:eastAsia="MS Gothic" w:hAnsi="MS Gothic"/>
      <w:szCs w:val="18"/>
    </w:rPr>
  </w:style>
  <w:style w:type="character" w:customStyle="1" w:styleId="BFFMCheckboxZchn">
    <w:name w:val="BF_FM Checkbox Zchn"/>
    <w:basedOn w:val="Absatz-Standardschriftart"/>
    <w:link w:val="BFFMCheckbox"/>
    <w:uiPriority w:val="1"/>
    <w:rPr>
      <w:rFonts w:ascii="MS Gothic" w:eastAsia="MS Gothic" w:hAnsi="MS Gothic"/>
      <w:kern w:val="22"/>
      <w:szCs w:val="18"/>
    </w:rPr>
  </w:style>
  <w:style w:type="paragraph" w:customStyle="1" w:styleId="BFFMHinweistexte">
    <w:name w:val="BF_FM Hinweistexte"/>
    <w:basedOn w:val="KeinLeerraum"/>
    <w:link w:val="BFFMHinweistexteZchn"/>
    <w:uiPriority w:val="1"/>
    <w:qFormat/>
    <w:rPr>
      <w:noProof/>
      <w:vanish/>
      <w:color w:val="637F27" w:themeColor="accent5" w:themeShade="BF"/>
      <w:sz w:val="18"/>
      <w:szCs w:val="16"/>
    </w:rPr>
  </w:style>
  <w:style w:type="character" w:customStyle="1" w:styleId="BFFMHinweistexteZchn">
    <w:name w:val="BF_FM Hinweistexte Zchn"/>
    <w:basedOn w:val="Absatz-Standardschriftart"/>
    <w:link w:val="BFFMHinweistexte"/>
    <w:uiPriority w:val="1"/>
    <w:rPr>
      <w:noProof/>
      <w:vanish/>
      <w:color w:val="637F27" w:themeColor="accent5" w:themeShade="BF"/>
      <w:sz w:val="18"/>
      <w:szCs w:val="16"/>
    </w:rPr>
  </w:style>
  <w:style w:type="table" w:customStyle="1" w:styleId="KVBBrief">
    <w:name w:val="KVB Brief"/>
    <w:basedOn w:val="NormaleTabelle"/>
    <w:uiPriority w:val="99"/>
    <w:pPr>
      <w:spacing w:after="0" w:line="240" w:lineRule="auto"/>
    </w:pPr>
    <w:rPr>
      <w:sz w:val="16"/>
    </w:rPr>
    <w:tblPr>
      <w:tblCellMar>
        <w:left w:w="0" w:type="dxa"/>
        <w:right w:w="0" w:type="dxa"/>
      </w:tblCellMar>
    </w:tblPr>
  </w:style>
  <w:style w:type="paragraph" w:customStyle="1" w:styleId="Titelgro">
    <w:name w:val="Titel groß"/>
    <w:basedOn w:val="Titel"/>
    <w:uiPriority w:val="9"/>
    <w:qFormat/>
    <w:rPr>
      <w:sz w:val="50"/>
      <w:szCs w:val="50"/>
    </w:rPr>
  </w:style>
  <w:style w:type="paragraph" w:customStyle="1" w:styleId="BFFMTabellenabstand">
    <w:name w:val="BF_FM Tabellenabstand"/>
    <w:basedOn w:val="Standard"/>
    <w:uiPriority w:val="1"/>
    <w:pPr>
      <w:spacing w:after="0" w:line="240" w:lineRule="auto"/>
    </w:pPr>
    <w:rPr>
      <w:sz w:val="10"/>
      <w:szCs w:val="12"/>
    </w:rPr>
  </w:style>
  <w:style w:type="paragraph" w:customStyle="1" w:styleId="FMBezeichnung">
    <w:name w:val="FM Bezeichnung"/>
    <w:basedOn w:val="Standard"/>
    <w:uiPriority w:val="1"/>
    <w:pPr>
      <w:spacing w:after="0" w:line="240" w:lineRule="auto"/>
    </w:pPr>
    <w:rPr>
      <w:b/>
      <w:bCs/>
      <w:sz w:val="20"/>
      <w:szCs w:val="20"/>
    </w:rPr>
  </w:style>
  <w:style w:type="paragraph" w:customStyle="1" w:styleId="FMFormulartitel">
    <w:name w:val="FM Formulartitel"/>
    <w:basedOn w:val="Standard"/>
    <w:link w:val="FMFormulartitelZchn"/>
    <w:uiPriority w:val="1"/>
    <w:pPr>
      <w:spacing w:after="60" w:line="240" w:lineRule="auto"/>
      <w:ind w:right="2425"/>
    </w:pPr>
    <w:rPr>
      <w:sz w:val="28"/>
      <w:szCs w:val="28"/>
    </w:rPr>
  </w:style>
  <w:style w:type="character" w:customStyle="1" w:styleId="FMFormulartitelZchn">
    <w:name w:val="FM Formulartitel Zchn"/>
    <w:basedOn w:val="Absatz-Standardschriftart"/>
    <w:link w:val="FMFormulartitel"/>
    <w:uiPriority w:val="1"/>
    <w:rPr>
      <w:kern w:val="22"/>
      <w:sz w:val="28"/>
      <w:szCs w:val="28"/>
    </w:rPr>
  </w:style>
  <w:style w:type="paragraph" w:customStyle="1" w:styleId="FMHervorhebung">
    <w:name w:val="FM Hervorhebung"/>
    <w:basedOn w:val="Standard"/>
    <w:uiPriority w:val="2"/>
    <w:qFormat/>
    <w:pPr>
      <w:spacing w:after="0" w:line="240" w:lineRule="auto"/>
    </w:pPr>
    <w:rPr>
      <w:b/>
      <w:bCs/>
      <w:sz w:val="30"/>
      <w:szCs w:val="30"/>
    </w:rPr>
  </w:style>
  <w:style w:type="paragraph" w:customStyle="1" w:styleId="FMberschrift">
    <w:name w:val="FM Überschrift"/>
    <w:basedOn w:val="Standard"/>
    <w:uiPriority w:val="1"/>
    <w:pPr>
      <w:spacing w:after="40" w:line="240" w:lineRule="auto"/>
    </w:pPr>
    <w:rPr>
      <w:color w:val="0072B7" w:themeColor="accent1"/>
      <w:sz w:val="24"/>
      <w:szCs w:val="20"/>
    </w:rPr>
  </w:style>
  <w:style w:type="paragraph" w:customStyle="1" w:styleId="BFFMZusatz">
    <w:name w:val="BF_FM Zusatz"/>
    <w:basedOn w:val="KeinLeerraum"/>
    <w:link w:val="BFFMZusatzZchn"/>
    <w:uiPriority w:val="1"/>
    <w:qFormat/>
    <w:pPr>
      <w:tabs>
        <w:tab w:val="clear" w:pos="4536"/>
      </w:tabs>
    </w:pPr>
    <w:rPr>
      <w:sz w:val="16"/>
      <w:szCs w:val="16"/>
    </w:rPr>
  </w:style>
  <w:style w:type="character" w:customStyle="1" w:styleId="BFFMZusatzZchn">
    <w:name w:val="BF_FM Zusatz Zchn"/>
    <w:basedOn w:val="Absatz-Standardschriftart"/>
    <w:link w:val="BFFMZusatz"/>
    <w:uiPriority w:val="1"/>
    <w:rPr>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kern w:val="22"/>
      <w:sz w:val="20"/>
      <w:szCs w:val="20"/>
    </w:rPr>
  </w:style>
  <w:style w:type="paragraph" w:customStyle="1" w:styleId="BFAnrede">
    <w:name w:val="BF Anrede"/>
    <w:basedOn w:val="Standard"/>
    <w:next w:val="Standard"/>
    <w:uiPriority w:val="1"/>
    <w:qFormat/>
    <w:pPr>
      <w:spacing w:before="480"/>
    </w:pPr>
  </w:style>
  <w:style w:type="paragraph" w:customStyle="1" w:styleId="BFHinweismitRahmen">
    <w:name w:val="BF Hinweis mit Rahmen"/>
    <w:basedOn w:val="Standard"/>
    <w:next w:val="Standard"/>
    <w:uiPriority w:val="1"/>
    <w:qFormat/>
    <w:pPr>
      <w:pBdr>
        <w:top w:val="single" w:sz="4" w:space="1" w:color="auto"/>
        <w:left w:val="single" w:sz="4" w:space="4" w:color="auto"/>
        <w:bottom w:val="single" w:sz="4" w:space="1" w:color="auto"/>
        <w:right w:val="single" w:sz="4" w:space="4" w:color="auto"/>
        <w:between w:val="single" w:sz="4" w:space="1" w:color="auto"/>
        <w:bar w:val="single" w:sz="4" w:color="auto"/>
      </w:pBdr>
    </w:pPr>
    <w:rPr>
      <w:sz w:val="18"/>
      <w:szCs w:val="18"/>
    </w:rPr>
  </w:style>
  <w:style w:type="table" w:customStyle="1" w:styleId="KVBBriefformular">
    <w:name w:val="KVB Briefformular"/>
    <w:basedOn w:val="NormaleTabelle"/>
    <w:uiPriority w:val="99"/>
    <w:pPr>
      <w:spacing w:after="0" w:line="240" w:lineRule="auto"/>
    </w:p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Pr>
    <w:tcPr>
      <w:vAlign w:val="bottom"/>
    </w:tcPr>
    <w:tblStylePr w:type="firstRow">
      <w:tblPr/>
      <w:tcPr>
        <w:tcBorders>
          <w:bottom w:val="single" w:sz="4" w:space="0" w:color="auto"/>
        </w:tcBorders>
      </w:tcPr>
    </w:tblStylePr>
  </w:style>
  <w:style w:type="numbering" w:customStyle="1" w:styleId="KVBListe">
    <w:name w:val="KVB Liste"/>
    <w:uiPriority w:val="99"/>
    <w:pPr>
      <w:numPr>
        <w:numId w:val="19"/>
      </w:numPr>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customStyle="1" w:styleId="BFFMVertraulichkeit">
    <w:name w:val="BF_FM Vertraulichkeit"/>
    <w:basedOn w:val="Standard"/>
    <w:uiPriority w:val="5"/>
    <w:qFormat/>
    <w:pPr>
      <w:spacing w:after="0" w:line="240" w:lineRule="auto"/>
    </w:pPr>
    <w:rPr>
      <w:caps/>
      <w:color w:val="A6A6A6" w:themeColor="background1" w:themeShade="A6"/>
      <w:spacing w:val="20"/>
      <w:sz w:val="16"/>
    </w:rPr>
  </w:style>
  <w:style w:type="paragraph" w:styleId="berarbeitung">
    <w:name w:val="Revision"/>
    <w:hidden/>
    <w:uiPriority w:val="99"/>
    <w:semiHidden/>
    <w:rsid w:val="00AE3A30"/>
    <w:pPr>
      <w:spacing w:after="0" w:line="240" w:lineRule="auto"/>
    </w:pPr>
    <w:rPr>
      <w:kern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8666">
      <w:bodyDiv w:val="1"/>
      <w:marLeft w:val="0"/>
      <w:marRight w:val="0"/>
      <w:marTop w:val="0"/>
      <w:marBottom w:val="0"/>
      <w:divBdr>
        <w:top w:val="none" w:sz="0" w:space="0" w:color="auto"/>
        <w:left w:val="none" w:sz="0" w:space="0" w:color="auto"/>
        <w:bottom w:val="none" w:sz="0" w:space="0" w:color="auto"/>
        <w:right w:val="none" w:sz="0" w:space="0" w:color="auto"/>
      </w:divBdr>
    </w:div>
    <w:div w:id="205147374">
      <w:bodyDiv w:val="1"/>
      <w:marLeft w:val="0"/>
      <w:marRight w:val="0"/>
      <w:marTop w:val="0"/>
      <w:marBottom w:val="0"/>
      <w:divBdr>
        <w:top w:val="none" w:sz="0" w:space="0" w:color="auto"/>
        <w:left w:val="none" w:sz="0" w:space="0" w:color="auto"/>
        <w:bottom w:val="none" w:sz="0" w:space="0" w:color="auto"/>
        <w:right w:val="none" w:sz="0" w:space="0" w:color="auto"/>
      </w:divBdr>
    </w:div>
    <w:div w:id="89334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D3C0BA1A7F4750B279BBC887B46718"/>
        <w:category>
          <w:name w:val="Allgemein"/>
          <w:gallery w:val="placeholder"/>
        </w:category>
        <w:types>
          <w:type w:val="bbPlcHdr"/>
        </w:types>
        <w:behaviors>
          <w:behavior w:val="content"/>
        </w:behaviors>
        <w:guid w:val="{9F314123-2738-4B1A-ADF2-CB50EF9C4024}"/>
      </w:docPartPr>
      <w:docPartBody>
        <w:p w:rsidR="00687DD4" w:rsidRDefault="00687DD4">
          <w:pPr>
            <w:pStyle w:val="24D3C0BA1A7F4750B279BBC887B46718"/>
          </w:pPr>
          <w:r>
            <w:rPr>
              <w:rStyle w:val="Platzhaltertext"/>
            </w:rPr>
            <w:t>Klicken oder tippen Sie hier, um Text einzugeben.</w:t>
          </w:r>
        </w:p>
      </w:docPartBody>
    </w:docPart>
    <w:docPart>
      <w:docPartPr>
        <w:name w:val="3735784F16F541FDBE0CC823AE0E6D5D"/>
        <w:category>
          <w:name w:val="Allgemein"/>
          <w:gallery w:val="placeholder"/>
        </w:category>
        <w:types>
          <w:type w:val="bbPlcHdr"/>
        </w:types>
        <w:behaviors>
          <w:behavior w:val="content"/>
        </w:behaviors>
        <w:guid w:val="{C4450ACE-C08D-49D8-B185-E4F02898E954}"/>
      </w:docPartPr>
      <w:docPartBody>
        <w:p w:rsidR="00687DD4" w:rsidRDefault="00D954B2" w:rsidP="00D954B2">
          <w:pPr>
            <w:pStyle w:val="3735784F16F541FDBE0CC823AE0E6D5D1"/>
          </w:pPr>
          <w:r>
            <w:rPr>
              <w:rStyle w:val="Platzhaltertext"/>
              <w:vanish/>
            </w:rPr>
            <w:t>Anrede wählen</w:t>
          </w:r>
        </w:p>
      </w:docPartBody>
    </w:docPart>
    <w:docPart>
      <w:docPartPr>
        <w:name w:val="A904F89D8B0441A9B4512F3C791F120A"/>
        <w:category>
          <w:name w:val="Allgemein"/>
          <w:gallery w:val="placeholder"/>
        </w:category>
        <w:types>
          <w:type w:val="bbPlcHdr"/>
        </w:types>
        <w:behaviors>
          <w:behavior w:val="content"/>
        </w:behaviors>
        <w:guid w:val="{559F8939-461C-46FC-9B3D-9E25645A197D}"/>
      </w:docPartPr>
      <w:docPartBody>
        <w:p w:rsidR="00687DD4" w:rsidRDefault="00D954B2" w:rsidP="00D954B2">
          <w:pPr>
            <w:pStyle w:val="A904F89D8B0441A9B4512F3C791F120A1"/>
          </w:pPr>
          <w:r>
            <w:rPr>
              <w:rStyle w:val="Platzhaltertext"/>
              <w:vanish/>
            </w:rPr>
            <w:t>Vorname Name eingeben</w:t>
          </w:r>
        </w:p>
      </w:docPartBody>
    </w:docPart>
    <w:docPart>
      <w:docPartPr>
        <w:name w:val="28B7B36AED154B9A80A0B2D6F73B23DC"/>
        <w:category>
          <w:name w:val="Allgemein"/>
          <w:gallery w:val="placeholder"/>
        </w:category>
        <w:types>
          <w:type w:val="bbPlcHdr"/>
        </w:types>
        <w:behaviors>
          <w:behavior w:val="content"/>
        </w:behaviors>
        <w:guid w:val="{5B158B8A-F9DD-4235-8468-31E88F15085F}"/>
      </w:docPartPr>
      <w:docPartBody>
        <w:p w:rsidR="00687DD4" w:rsidRDefault="00D954B2" w:rsidP="00D954B2">
          <w:pPr>
            <w:pStyle w:val="28B7B36AED154B9A80A0B2D6F73B23DC1"/>
          </w:pPr>
          <w:r>
            <w:rPr>
              <w:rStyle w:val="Platzhaltertext"/>
              <w:vanish/>
            </w:rPr>
            <w:t>Geburtsdatum eingeben oder wählen</w:t>
          </w:r>
        </w:p>
      </w:docPartBody>
    </w:docPart>
    <w:docPart>
      <w:docPartPr>
        <w:name w:val="7F3633CAFCF34BE3B4CAF83F30682485"/>
        <w:category>
          <w:name w:val="Allgemein"/>
          <w:gallery w:val="placeholder"/>
        </w:category>
        <w:types>
          <w:type w:val="bbPlcHdr"/>
        </w:types>
        <w:behaviors>
          <w:behavior w:val="content"/>
        </w:behaviors>
        <w:guid w:val="{78E4D168-0896-47A7-8527-190A291FACCB}"/>
      </w:docPartPr>
      <w:docPartBody>
        <w:p w:rsidR="00687DD4" w:rsidRDefault="00D954B2" w:rsidP="00D954B2">
          <w:pPr>
            <w:pStyle w:val="7F3633CAFCF34BE3B4CAF83F306824851"/>
          </w:pPr>
          <w:r>
            <w:rPr>
              <w:rStyle w:val="Platzhaltertext"/>
              <w:vanish/>
            </w:rPr>
            <w:t>Organisationseinheit eingeben</w:t>
          </w:r>
        </w:p>
      </w:docPartBody>
    </w:docPart>
    <w:docPart>
      <w:docPartPr>
        <w:name w:val="4EA034AC5E2F4205B19787B7AC3A9EA1"/>
        <w:category>
          <w:name w:val="Allgemein"/>
          <w:gallery w:val="placeholder"/>
        </w:category>
        <w:types>
          <w:type w:val="bbPlcHdr"/>
        </w:types>
        <w:behaviors>
          <w:behavior w:val="content"/>
        </w:behaviors>
        <w:guid w:val="{2FDA2A16-0522-444E-BE06-CDA0D44B44FF}"/>
      </w:docPartPr>
      <w:docPartBody>
        <w:p w:rsidR="00687DD4" w:rsidRDefault="00687DD4">
          <w:pPr>
            <w:pStyle w:val="4EA034AC5E2F4205B19787B7AC3A9EA1"/>
          </w:pPr>
          <w:r>
            <w:rPr>
              <w:rStyle w:val="Platzhaltertext"/>
              <w:vanish/>
            </w:rPr>
            <w:t>Funktion eingeben</w:t>
          </w:r>
        </w:p>
      </w:docPartBody>
    </w:docPart>
    <w:docPart>
      <w:docPartPr>
        <w:name w:val="DefaultPlaceholder_-1854013440"/>
        <w:category>
          <w:name w:val="Allgemein"/>
          <w:gallery w:val="placeholder"/>
        </w:category>
        <w:types>
          <w:type w:val="bbPlcHdr"/>
        </w:types>
        <w:behaviors>
          <w:behavior w:val="content"/>
        </w:behaviors>
        <w:guid w:val="{363F5E02-DBA2-4984-A77A-054CE8B021CF}"/>
      </w:docPartPr>
      <w:docPartBody>
        <w:p w:rsidR="00D954B2" w:rsidRDefault="00D954B2">
          <w:r w:rsidRPr="002A6B3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DD4"/>
    <w:rsid w:val="00102F43"/>
    <w:rsid w:val="00105611"/>
    <w:rsid w:val="0030289B"/>
    <w:rsid w:val="005750A3"/>
    <w:rsid w:val="00656ABD"/>
    <w:rsid w:val="00687DD4"/>
    <w:rsid w:val="00703D6E"/>
    <w:rsid w:val="007431BA"/>
    <w:rsid w:val="00885149"/>
    <w:rsid w:val="009648C5"/>
    <w:rsid w:val="009A0362"/>
    <w:rsid w:val="00A25A05"/>
    <w:rsid w:val="00A55A85"/>
    <w:rsid w:val="00A575BF"/>
    <w:rsid w:val="00A75C86"/>
    <w:rsid w:val="00BE6299"/>
    <w:rsid w:val="00C223C3"/>
    <w:rsid w:val="00D954B2"/>
    <w:rsid w:val="00DB0B20"/>
    <w:rsid w:val="00DC1F07"/>
    <w:rsid w:val="00E23057"/>
    <w:rsid w:val="00E7728A"/>
    <w:rsid w:val="00ED7524"/>
    <w:rsid w:val="00EE3EA4"/>
    <w:rsid w:val="00F628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qFormat/>
    <w:rsid w:val="00D954B2"/>
    <w:rPr>
      <w:color w:val="4EA72E" w:themeColor="accent6"/>
    </w:rPr>
  </w:style>
  <w:style w:type="paragraph" w:customStyle="1" w:styleId="24D3C0BA1A7F4750B279BBC887B46718">
    <w:name w:val="24D3C0BA1A7F4750B279BBC887B46718"/>
  </w:style>
  <w:style w:type="paragraph" w:customStyle="1" w:styleId="4EA034AC5E2F4205B19787B7AC3A9EA1">
    <w:name w:val="4EA034AC5E2F4205B19787B7AC3A9EA1"/>
  </w:style>
  <w:style w:type="paragraph" w:customStyle="1" w:styleId="3735784F16F541FDBE0CC823AE0E6D5D1">
    <w:name w:val="3735784F16F541FDBE0CC823AE0E6D5D1"/>
    <w:rsid w:val="00D954B2"/>
    <w:pPr>
      <w:spacing w:after="240" w:line="312" w:lineRule="auto"/>
    </w:pPr>
    <w:rPr>
      <w:rFonts w:eastAsiaTheme="minorHAnsi"/>
      <w:kern w:val="22"/>
      <w:lang w:eastAsia="en-US"/>
    </w:rPr>
  </w:style>
  <w:style w:type="paragraph" w:customStyle="1" w:styleId="A904F89D8B0441A9B4512F3C791F120A1">
    <w:name w:val="A904F89D8B0441A9B4512F3C791F120A1"/>
    <w:rsid w:val="00D954B2"/>
    <w:pPr>
      <w:spacing w:after="240" w:line="312" w:lineRule="auto"/>
    </w:pPr>
    <w:rPr>
      <w:rFonts w:eastAsiaTheme="minorHAnsi"/>
      <w:kern w:val="22"/>
      <w:lang w:eastAsia="en-US"/>
    </w:rPr>
  </w:style>
  <w:style w:type="paragraph" w:customStyle="1" w:styleId="28B7B36AED154B9A80A0B2D6F73B23DC1">
    <w:name w:val="28B7B36AED154B9A80A0B2D6F73B23DC1"/>
    <w:rsid w:val="00D954B2"/>
    <w:pPr>
      <w:spacing w:after="240" w:line="312" w:lineRule="auto"/>
    </w:pPr>
    <w:rPr>
      <w:rFonts w:eastAsiaTheme="minorHAnsi"/>
      <w:kern w:val="22"/>
      <w:lang w:eastAsia="en-US"/>
    </w:rPr>
  </w:style>
  <w:style w:type="paragraph" w:customStyle="1" w:styleId="7F3633CAFCF34BE3B4CAF83F306824851">
    <w:name w:val="7F3633CAFCF34BE3B4CAF83F306824851"/>
    <w:rsid w:val="00D954B2"/>
    <w:pPr>
      <w:spacing w:after="240" w:line="312" w:lineRule="auto"/>
    </w:pPr>
    <w:rPr>
      <w:rFonts w:eastAsiaTheme="minorHAnsi"/>
      <w:kern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VB_Theme_2021">
  <a:themeElements>
    <a:clrScheme name="KVB_Color_2021">
      <a:dk1>
        <a:sysClr val="windowText" lastClr="000000"/>
      </a:dk1>
      <a:lt1>
        <a:sysClr val="window" lastClr="FFFFFF"/>
      </a:lt1>
      <a:dk2>
        <a:srgbClr val="00254D"/>
      </a:dk2>
      <a:lt2>
        <a:srgbClr val="FFFFFF"/>
      </a:lt2>
      <a:accent1>
        <a:srgbClr val="0072B7"/>
      </a:accent1>
      <a:accent2>
        <a:srgbClr val="0090C6"/>
      </a:accent2>
      <a:accent3>
        <a:srgbClr val="00AEC7"/>
      </a:accent3>
      <a:accent4>
        <a:srgbClr val="66C2CC"/>
      </a:accent4>
      <a:accent5>
        <a:srgbClr val="85AB35"/>
      </a:accent5>
      <a:accent6>
        <a:srgbClr val="C50E1F"/>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s>
</file>

<file path=customXml/item2.xml><?xml version="1.0" encoding="utf-8"?>
<root>
  <Date/>
  <Bezirksstelle> </Bezirksstelle>
</root>
</file>

<file path=customXml/itemProps1.xml><?xml version="1.0" encoding="utf-8"?>
<ds:datastoreItem xmlns:ds="http://schemas.openxmlformats.org/officeDocument/2006/customXml" ds:itemID="{894DB12E-74CE-4FF0-8D12-0DE4194B255D}">
  <ds:schemaRefs>
    <ds:schemaRef ds:uri="http://schemas.openxmlformats.org/officeDocument/2006/bibliography"/>
  </ds:schemaRefs>
</ds:datastoreItem>
</file>

<file path=customXml/itemProps2.xml><?xml version="1.0" encoding="utf-8"?>
<ds:datastoreItem xmlns:ds="http://schemas.openxmlformats.org/officeDocument/2006/customXml" ds:itemID="{962A3DF2-89F6-40B4-AB8E-DB636DC7D24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4119</Words>
  <Characters>25950</Characters>
  <Application>Microsoft Office Word</Application>
  <DocSecurity>0</DocSecurity>
  <Lines>216</Lines>
  <Paragraphs>60</Paragraphs>
  <ScaleCrop>false</ScaleCrop>
  <HeadingPairs>
    <vt:vector size="2" baseType="variant">
      <vt:variant>
        <vt:lpstr>Titel</vt:lpstr>
      </vt:variant>
      <vt:variant>
        <vt:i4>1</vt:i4>
      </vt:variant>
    </vt:vector>
  </HeadingPairs>
  <TitlesOfParts>
    <vt:vector size="1" baseType="lpstr">
      <vt:lpstr>KVB01 Briefvorlage</vt:lpstr>
    </vt:vector>
  </TitlesOfParts>
  <Company/>
  <LinksUpToDate>false</LinksUpToDate>
  <CharactersWithSpaces>30009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KVB01 Briefvorlage</dc:title>
  <dc:subject/>
  <dc:creator>Kreß, Marion (KVB Nürnberg)</dc:creator>
  <cp:keywords/>
  <dc:description/>
  <cp:lastModifiedBy>Meise, Dirk (KVB - München)</cp:lastModifiedBy>
  <cp:revision>19</cp:revision>
  <cp:lastPrinted>2021-09-24T07:11:00Z</cp:lastPrinted>
  <dcterms:created xsi:type="dcterms:W3CDTF">2026-01-02T11:11:00Z</dcterms:created>
  <dcterms:modified xsi:type="dcterms:W3CDTF">2026-09-14T11:51:00Z</dcterms:modified>
</cp:coreProperties>
</file>